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A0" w:rsidRDefault="00D04FA0" w:rsidP="00D04FA0">
      <w:pPr>
        <w:spacing w:after="0" w:line="36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Хасан Б.И.</w:t>
      </w:r>
    </w:p>
    <w:p w:rsidR="00D04FA0" w:rsidRDefault="00D04FA0" w:rsidP="00D04FA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Назначения развития</w:t>
      </w:r>
    </w:p>
    <w:p w:rsidR="00D04FA0" w:rsidRDefault="00D04FA0" w:rsidP="00D04FA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(вместо предисловия)</w:t>
      </w:r>
    </w:p>
    <w:p w:rsidR="00D04FA0" w:rsidRDefault="00D04FA0" w:rsidP="00D04F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Повторяться всякий раз иначе – не в этом ли искусство?</w:t>
      </w:r>
    </w:p>
    <w:p w:rsidR="00D04FA0" w:rsidRDefault="00D04FA0" w:rsidP="00D04F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Станислав Ежи </w:t>
      </w:r>
      <w:proofErr w:type="spellStart"/>
      <w:r>
        <w:rPr>
          <w:rFonts w:ascii="Times New Roman" w:hAnsi="Times New Roman" w:cs="Times New Roman"/>
          <w:sz w:val="28"/>
          <w:szCs w:val="28"/>
        </w:rPr>
        <w:t>Лец</w:t>
      </w:r>
      <w:proofErr w:type="spellEnd"/>
    </w:p>
    <w:p w:rsidR="00D04FA0" w:rsidRDefault="00D04FA0" w:rsidP="00D04FA0">
      <w:pPr>
        <w:spacing w:after="0" w:line="360" w:lineRule="auto"/>
        <w:jc w:val="right"/>
        <w:rPr>
          <w:rFonts w:ascii="Times New Roman" w:hAnsi="Times New Roman" w:cs="Times New Roman"/>
          <w:sz w:val="28"/>
          <w:szCs w:val="28"/>
        </w:rPr>
      </w:pP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дискуссиях по тематической линии конференции по педагогике развития систематически появлялись идеи, касающиеся логической </w:t>
      </w:r>
      <w:proofErr w:type="spellStart"/>
      <w:r>
        <w:rPr>
          <w:rFonts w:ascii="Times New Roman" w:hAnsi="Times New Roman" w:cs="Times New Roman"/>
          <w:sz w:val="28"/>
          <w:szCs w:val="28"/>
        </w:rPr>
        <w:t>выстроенности</w:t>
      </w:r>
      <w:proofErr w:type="spellEnd"/>
      <w:r>
        <w:rPr>
          <w:rFonts w:ascii="Times New Roman" w:hAnsi="Times New Roman" w:cs="Times New Roman"/>
          <w:sz w:val="28"/>
          <w:szCs w:val="28"/>
        </w:rPr>
        <w:t xml:space="preserve"> дискурса. И в этой логической последовательности  отдельные элементы триады (</w:t>
      </w:r>
      <w:r>
        <w:rPr>
          <w:rFonts w:ascii="Times New Roman" w:hAnsi="Times New Roman" w:cs="Times New Roman"/>
          <w:i/>
          <w:sz w:val="28"/>
          <w:szCs w:val="28"/>
        </w:rPr>
        <w:t>инициатива</w:t>
      </w:r>
      <w:r>
        <w:rPr>
          <w:rFonts w:ascii="Times New Roman" w:hAnsi="Times New Roman" w:cs="Times New Roman"/>
          <w:sz w:val="28"/>
          <w:szCs w:val="28"/>
        </w:rPr>
        <w:t xml:space="preserve">, </w:t>
      </w:r>
      <w:r>
        <w:rPr>
          <w:rFonts w:ascii="Times New Roman" w:hAnsi="Times New Roman" w:cs="Times New Roman"/>
          <w:i/>
          <w:sz w:val="28"/>
          <w:szCs w:val="28"/>
        </w:rPr>
        <w:t>самостоятельность</w:t>
      </w:r>
      <w:r>
        <w:rPr>
          <w:rFonts w:ascii="Times New Roman" w:hAnsi="Times New Roman" w:cs="Times New Roman"/>
          <w:sz w:val="28"/>
          <w:szCs w:val="28"/>
        </w:rPr>
        <w:t xml:space="preserve">, </w:t>
      </w:r>
      <w:r>
        <w:rPr>
          <w:rFonts w:ascii="Times New Roman" w:hAnsi="Times New Roman" w:cs="Times New Roman"/>
          <w:i/>
          <w:sz w:val="28"/>
          <w:szCs w:val="28"/>
        </w:rPr>
        <w:t>ответственность</w:t>
      </w:r>
      <w:r>
        <w:rPr>
          <w:rFonts w:ascii="Times New Roman" w:hAnsi="Times New Roman" w:cs="Times New Roman"/>
          <w:sz w:val="28"/>
          <w:szCs w:val="28"/>
        </w:rPr>
        <w:t xml:space="preserve">) уже </w:t>
      </w:r>
      <w:proofErr w:type="gramStart"/>
      <w:r>
        <w:rPr>
          <w:rFonts w:ascii="Times New Roman" w:hAnsi="Times New Roman" w:cs="Times New Roman"/>
          <w:sz w:val="28"/>
          <w:szCs w:val="28"/>
        </w:rPr>
        <w:t>актуализировались</w:t>
      </w:r>
      <w:proofErr w:type="gramEnd"/>
      <w:r>
        <w:rPr>
          <w:rFonts w:ascii="Times New Roman" w:hAnsi="Times New Roman" w:cs="Times New Roman"/>
          <w:sz w:val="28"/>
          <w:szCs w:val="28"/>
        </w:rPr>
        <w:t xml:space="preserve"> и, разумеется, предпринимались попытки их связывания. </w:t>
      </w:r>
      <w:proofErr w:type="gramStart"/>
      <w:r>
        <w:rPr>
          <w:rFonts w:ascii="Times New Roman" w:hAnsi="Times New Roman" w:cs="Times New Roman"/>
          <w:sz w:val="28"/>
          <w:szCs w:val="28"/>
        </w:rPr>
        <w:t>Начиная с 3-й конференции в ее названии появилось специальное тематическое</w:t>
      </w:r>
      <w:proofErr w:type="gramEnd"/>
      <w:r>
        <w:rPr>
          <w:rFonts w:ascii="Times New Roman" w:hAnsi="Times New Roman" w:cs="Times New Roman"/>
          <w:sz w:val="28"/>
          <w:szCs w:val="28"/>
        </w:rPr>
        <w:t xml:space="preserve"> уточнение, и уже в 1996 году была предпринята попытка переформулировать задачи школы в основных понятиях культурно-исторической Школы, на которой строит теоретико-методологические опоры наша конференция. Следующая, 4-я, конференция была посвящена возрастной динамике и ее институциональному обеспечению, и в докладах этой конференции уже можно отметить нацеленность на связку так называемых </w:t>
      </w:r>
      <w:r>
        <w:rPr>
          <w:rFonts w:ascii="Times New Roman" w:hAnsi="Times New Roman" w:cs="Times New Roman"/>
          <w:i/>
          <w:sz w:val="28"/>
          <w:szCs w:val="28"/>
        </w:rPr>
        <w:t>универсальных</w:t>
      </w:r>
      <w:r>
        <w:rPr>
          <w:rFonts w:ascii="Times New Roman" w:hAnsi="Times New Roman" w:cs="Times New Roman"/>
          <w:sz w:val="28"/>
          <w:szCs w:val="28"/>
        </w:rPr>
        <w:t xml:space="preserve"> </w:t>
      </w:r>
      <w:r>
        <w:rPr>
          <w:rFonts w:ascii="Times New Roman" w:hAnsi="Times New Roman" w:cs="Times New Roman"/>
          <w:i/>
          <w:sz w:val="28"/>
          <w:szCs w:val="28"/>
        </w:rPr>
        <w:t>способностей</w:t>
      </w:r>
      <w:r>
        <w:rPr>
          <w:rFonts w:ascii="Times New Roman" w:hAnsi="Times New Roman" w:cs="Times New Roman"/>
          <w:sz w:val="28"/>
          <w:szCs w:val="28"/>
        </w:rPr>
        <w:t xml:space="preserve"> и их возрастной специфичности, обеспечиваемой именно особенностями </w:t>
      </w:r>
      <w:proofErr w:type="spellStart"/>
      <w:r>
        <w:rPr>
          <w:rFonts w:ascii="Times New Roman" w:hAnsi="Times New Roman" w:cs="Times New Roman"/>
          <w:sz w:val="28"/>
          <w:szCs w:val="28"/>
        </w:rPr>
        <w:t>ступенного</w:t>
      </w:r>
      <w:proofErr w:type="spellEnd"/>
      <w:r>
        <w:rPr>
          <w:rFonts w:ascii="Times New Roman" w:hAnsi="Times New Roman" w:cs="Times New Roman"/>
          <w:sz w:val="28"/>
          <w:szCs w:val="28"/>
        </w:rPr>
        <w:t xml:space="preserve"> устройства образовательных институтов. </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 Давыдов в своем докладе на этой конференции неожиданно для многих ее участников специально подчеркнул значение </w:t>
      </w:r>
      <w:r>
        <w:rPr>
          <w:rFonts w:ascii="Times New Roman" w:hAnsi="Times New Roman" w:cs="Times New Roman"/>
          <w:i/>
          <w:sz w:val="28"/>
          <w:szCs w:val="28"/>
        </w:rPr>
        <w:t>рекапитуляции</w:t>
      </w:r>
      <w:r>
        <w:rPr>
          <w:rFonts w:ascii="Times New Roman" w:hAnsi="Times New Roman" w:cs="Times New Roman"/>
          <w:sz w:val="28"/>
          <w:szCs w:val="28"/>
        </w:rPr>
        <w:t xml:space="preserve"> (повторяемости) исторически сложившихся культурных форм в онтогенезе и одновременно их особенность, обусловленную образовательными социокультурными современными воздействиями [1]. </w:t>
      </w:r>
      <w:proofErr w:type="gramStart"/>
      <w:r>
        <w:rPr>
          <w:rFonts w:ascii="Times New Roman" w:hAnsi="Times New Roman" w:cs="Times New Roman"/>
          <w:sz w:val="28"/>
          <w:szCs w:val="28"/>
        </w:rPr>
        <w:t xml:space="preserve">При этом Василий Васильевич (в обычной для себя манере) оставил многоточие собственно в докладе и лишь в кулуарах, отвечая на вопросы о таком внезапном интересе к теоретическим конструкциям Стенли Холла и его осторожной критике Л.С. Выготским, намекнул, что смысл этой его собственной «рекапитуляции» он </w:t>
      </w:r>
      <w:r>
        <w:rPr>
          <w:rFonts w:ascii="Times New Roman" w:hAnsi="Times New Roman" w:cs="Times New Roman"/>
          <w:sz w:val="28"/>
          <w:szCs w:val="28"/>
        </w:rPr>
        <w:lastRenderedPageBreak/>
        <w:t>видит в том, что важно обратить внимание не только на собственно возрастные новообразования, порождаемые и</w:t>
      </w:r>
      <w:proofErr w:type="gramEnd"/>
      <w:r>
        <w:rPr>
          <w:rFonts w:ascii="Times New Roman" w:hAnsi="Times New Roman" w:cs="Times New Roman"/>
          <w:sz w:val="28"/>
          <w:szCs w:val="28"/>
        </w:rPr>
        <w:t xml:space="preserve"> формируемые в особом устройстве образовательных институтов и соответствующих отношений, но и не забывать, на каких культурных инвариантах они наращиваются. Или иными словами, </w:t>
      </w:r>
      <w:r>
        <w:rPr>
          <w:rFonts w:ascii="Times New Roman" w:hAnsi="Times New Roman" w:cs="Times New Roman"/>
          <w:i/>
          <w:sz w:val="28"/>
          <w:szCs w:val="28"/>
        </w:rPr>
        <w:t>что</w:t>
      </w:r>
      <w:r>
        <w:rPr>
          <w:rFonts w:ascii="Times New Roman" w:hAnsi="Times New Roman" w:cs="Times New Roman"/>
          <w:sz w:val="28"/>
          <w:szCs w:val="28"/>
        </w:rPr>
        <w:t xml:space="preserve"> именно, развиваясь, повторяется (или точнее – воспроизводится) в измененном виде…</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Пятая конференция аккумулировала итоги исследований и практик, ориентированных на определенные результаты образования. И здесь достаточно отчетливо были опубликованы цели одного из центральных образовательных проектов нашего сообщества – «Выращивание  индивидуальных учебных действий», которые, в свою очередь, предлагалось понимать как «…инициативные и ответственные действия </w:t>
      </w:r>
      <w:r>
        <w:rPr>
          <w:rFonts w:ascii="Times New Roman" w:hAnsi="Times New Roman" w:cs="Times New Roman"/>
          <w:sz w:val="28"/>
          <w:szCs w:val="28"/>
        </w:rPr>
        <w:noBreakHyphen/>
        <w:t xml:space="preserve"> действие, в котором существует и осуществляется отношение человека к средствам и способам учебного содержания» [2]. Здесь же специальным образом мы начали обсуждать и детскую инициативу как образовательный эффект, для получения которого не только как случайного феномена, а как личностного качества необходимы специальные институциональные условия. Интересно, что сюжет инициативности, связанный с актуализацией индивидуального действия (в этих рамках учебного, но здесь же у </w:t>
      </w:r>
      <w:proofErr w:type="spellStart"/>
      <w:r>
        <w:rPr>
          <w:rFonts w:ascii="Times New Roman" w:hAnsi="Times New Roman" w:cs="Times New Roman"/>
          <w:sz w:val="28"/>
          <w:szCs w:val="28"/>
        </w:rPr>
        <w:t>Тубельского</w:t>
      </w:r>
      <w:proofErr w:type="spellEnd"/>
      <w:r>
        <w:rPr>
          <w:rFonts w:ascii="Times New Roman" w:hAnsi="Times New Roman" w:cs="Times New Roman"/>
          <w:sz w:val="28"/>
          <w:szCs w:val="28"/>
        </w:rPr>
        <w:t xml:space="preserve"> и Фрумина рамка шире) встречает и </w:t>
      </w:r>
      <w:proofErr w:type="spellStart"/>
      <w:r>
        <w:rPr>
          <w:rFonts w:ascii="Times New Roman" w:hAnsi="Times New Roman" w:cs="Times New Roman"/>
          <w:sz w:val="28"/>
          <w:szCs w:val="28"/>
        </w:rPr>
        <w:t>проблематизирующие</w:t>
      </w:r>
      <w:proofErr w:type="spellEnd"/>
      <w:r>
        <w:rPr>
          <w:rFonts w:ascii="Times New Roman" w:hAnsi="Times New Roman" w:cs="Times New Roman"/>
          <w:sz w:val="28"/>
          <w:szCs w:val="28"/>
        </w:rPr>
        <w:t xml:space="preserve"> тезисы относительно достаточности ставшего уже классическим понимания деятельности. Фактически впервые в наших обсуждениях формулируется ресурсный подход как дополняющий и расширяющий горизонты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Наряду с целевой ориентацией предлагается ориентация на возможности и шансы (П.Г. Щедровицкий). Таков новый горизонт, связанный с пониманием усиливающегося значения неопределенности и рисков. </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Вновь тематика образовательных ориентиров актуализировалась в обсуждениях становления компетентности. Причем акцент именно на становлении заставил нас дважды подряд обратиться к этим вопросам, поскольку на первой конференции пришлось разбираться с понятийным </w:t>
      </w:r>
      <w:r>
        <w:rPr>
          <w:rFonts w:ascii="Times New Roman" w:hAnsi="Times New Roman" w:cs="Times New Roman"/>
          <w:sz w:val="28"/>
          <w:szCs w:val="28"/>
        </w:rPr>
        <w:lastRenderedPageBreak/>
        <w:t xml:space="preserve">аппаратом, специально обращая внимание на его (аппарат) категориальный смысл в оппозиции к привычным для советского педагогического сообщества имитациям (В.А. </w:t>
      </w:r>
      <w:proofErr w:type="spellStart"/>
      <w:r>
        <w:rPr>
          <w:rFonts w:ascii="Times New Roman" w:hAnsi="Times New Roman" w:cs="Times New Roman"/>
          <w:sz w:val="28"/>
          <w:szCs w:val="28"/>
        </w:rPr>
        <w:t>Болотов</w:t>
      </w:r>
      <w:proofErr w:type="spellEnd"/>
      <w:r>
        <w:rPr>
          <w:rFonts w:ascii="Times New Roman" w:hAnsi="Times New Roman" w:cs="Times New Roman"/>
          <w:sz w:val="28"/>
          <w:szCs w:val="28"/>
        </w:rPr>
        <w:t>).</w:t>
      </w:r>
    </w:p>
    <w:p w:rsidR="00D04FA0" w:rsidRDefault="00D04FA0" w:rsidP="00D04FA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Компетентностный</w:t>
      </w:r>
      <w:proofErr w:type="spellEnd"/>
      <w:r>
        <w:rPr>
          <w:rFonts w:ascii="Times New Roman" w:hAnsi="Times New Roman" w:cs="Times New Roman"/>
          <w:sz w:val="28"/>
          <w:szCs w:val="28"/>
        </w:rPr>
        <w:t xml:space="preserve"> ориентир и в прежний период, и в настоящий (несмотря на то, что уже вошел в педагогический лексикон) довольно прочно ассоциируется с некоторой </w:t>
      </w:r>
      <w:proofErr w:type="spellStart"/>
      <w:r>
        <w:rPr>
          <w:rFonts w:ascii="Times New Roman" w:hAnsi="Times New Roman" w:cs="Times New Roman"/>
          <w:sz w:val="28"/>
          <w:szCs w:val="28"/>
        </w:rPr>
        <w:t>приготовленностью</w:t>
      </w:r>
      <w:proofErr w:type="spellEnd"/>
      <w:r>
        <w:rPr>
          <w:rFonts w:ascii="Times New Roman" w:hAnsi="Times New Roman" w:cs="Times New Roman"/>
          <w:sz w:val="28"/>
          <w:szCs w:val="28"/>
        </w:rPr>
        <w:t xml:space="preserve"> к решению кем-то поставленных задач, т.е. в основном </w:t>
      </w:r>
      <w:proofErr w:type="gramStart"/>
      <w:r>
        <w:rPr>
          <w:rFonts w:ascii="Times New Roman" w:hAnsi="Times New Roman" w:cs="Times New Roman"/>
          <w:sz w:val="28"/>
          <w:szCs w:val="28"/>
        </w:rPr>
        <w:t>определяется</w:t>
      </w:r>
      <w:proofErr w:type="gramEnd"/>
      <w:r>
        <w:rPr>
          <w:rFonts w:ascii="Times New Roman" w:hAnsi="Times New Roman" w:cs="Times New Roman"/>
          <w:sz w:val="28"/>
          <w:szCs w:val="28"/>
        </w:rPr>
        <w:t xml:space="preserve"> как способность эффективно действовать в заданных условиях. А вслед за таким пониманием возникает представление о репродуктивности, </w:t>
      </w:r>
      <w:proofErr w:type="spellStart"/>
      <w:r>
        <w:rPr>
          <w:rFonts w:ascii="Times New Roman" w:hAnsi="Times New Roman" w:cs="Times New Roman"/>
          <w:sz w:val="28"/>
          <w:szCs w:val="28"/>
        </w:rPr>
        <w:t>предзаданности</w:t>
      </w:r>
      <w:proofErr w:type="spellEnd"/>
      <w:r>
        <w:rPr>
          <w:rFonts w:ascii="Times New Roman" w:hAnsi="Times New Roman" w:cs="Times New Roman"/>
          <w:sz w:val="28"/>
          <w:szCs w:val="28"/>
        </w:rPr>
        <w:t xml:space="preserve"> ситуаций в начале учения, а затем, и социального позиционирования.  В таком понимании </w:t>
      </w:r>
      <w:proofErr w:type="spellStart"/>
      <w:r>
        <w:rPr>
          <w:rFonts w:ascii="Times New Roman" w:hAnsi="Times New Roman" w:cs="Times New Roman"/>
          <w:sz w:val="28"/>
          <w:szCs w:val="28"/>
        </w:rPr>
        <w:t>компетентностный</w:t>
      </w:r>
      <w:proofErr w:type="spellEnd"/>
      <w:r>
        <w:rPr>
          <w:rFonts w:ascii="Times New Roman" w:hAnsi="Times New Roman" w:cs="Times New Roman"/>
          <w:sz w:val="28"/>
          <w:szCs w:val="28"/>
        </w:rPr>
        <w:t xml:space="preserve"> подход вроде бы противоречит идеологии педагогики развития. </w:t>
      </w:r>
      <w:proofErr w:type="gramStart"/>
      <w:r>
        <w:rPr>
          <w:rFonts w:ascii="Times New Roman" w:hAnsi="Times New Roman" w:cs="Times New Roman"/>
          <w:sz w:val="28"/>
          <w:szCs w:val="28"/>
        </w:rPr>
        <w:t>Однако целый ряд авторов и докладчиков (среди них: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А.Г. </w:t>
      </w:r>
      <w:proofErr w:type="spellStart"/>
      <w:r>
        <w:rPr>
          <w:rFonts w:ascii="Times New Roman" w:hAnsi="Times New Roman" w:cs="Times New Roman"/>
          <w:sz w:val="28"/>
          <w:szCs w:val="28"/>
        </w:rPr>
        <w:t>Каспржак</w:t>
      </w:r>
      <w:proofErr w:type="spellEnd"/>
      <w:r>
        <w:rPr>
          <w:rFonts w:ascii="Times New Roman" w:hAnsi="Times New Roman" w:cs="Times New Roman"/>
          <w:sz w:val="28"/>
          <w:szCs w:val="28"/>
        </w:rPr>
        <w:t>, К.Г. Митрофанов, К.Н. Поливанова) на конференции достаточно отчетливо формулировали другую позицию:</w:t>
      </w:r>
      <w:proofErr w:type="gramEnd"/>
      <w:r>
        <w:rPr>
          <w:rFonts w:ascii="Times New Roman" w:hAnsi="Times New Roman" w:cs="Times New Roman"/>
          <w:sz w:val="28"/>
          <w:szCs w:val="28"/>
        </w:rPr>
        <w:t xml:space="preserve"> «Если в индустриальном (постиндустриальном) обществе можно было спрогнозировать набор характеристик успешного человека следующего десятилетия, то сегодня вряд ли кто-нибудь возьмется за описание “модели выпускника”. В этих условиях, “обучаемость” начинает цениться на рынке больше, чем “</w:t>
      </w:r>
      <w:proofErr w:type="spellStart"/>
      <w:r>
        <w:rPr>
          <w:rFonts w:ascii="Times New Roman" w:hAnsi="Times New Roman" w:cs="Times New Roman"/>
          <w:sz w:val="28"/>
          <w:szCs w:val="28"/>
        </w:rPr>
        <w:t>обученность</w:t>
      </w:r>
      <w:proofErr w:type="spellEnd"/>
      <w:r>
        <w:rPr>
          <w:rFonts w:ascii="Times New Roman" w:hAnsi="Times New Roman" w:cs="Times New Roman"/>
          <w:sz w:val="28"/>
          <w:szCs w:val="28"/>
        </w:rPr>
        <w:t>”.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ученик стал “человеком обучаемым”, ему, как минимум, надо в школе не “отбить охоту” учиться. Он должен понимать, что для того, чтобы быть успешным, придется всю жизнь учиться, переучиваться. А для этого учиться надо, видимо, иному и другими способами».</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вот он </w:t>
      </w:r>
      <w:r>
        <w:rPr>
          <w:rFonts w:ascii="Times New Roman" w:hAnsi="Times New Roman" w:cs="Times New Roman"/>
          <w:sz w:val="28"/>
          <w:szCs w:val="28"/>
        </w:rPr>
        <w:noBreakHyphen/>
        <w:t xml:space="preserve"> главный акцент, позволяющий реализовать не имитационный, а практический подход к новому, современному пониманию образовательных ориентиров:</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школе преимущественно формируется не собственно компетентность, а самостоятельность в разрешении проблем, условием которой является превращение предметного способа действия (т.е. знаний, умений, навыков) в средства разрешения проблем. Основная инновация </w:t>
      </w:r>
      <w:proofErr w:type="spellStart"/>
      <w:r>
        <w:rPr>
          <w:rFonts w:ascii="Times New Roman" w:hAnsi="Times New Roman" w:cs="Times New Roman"/>
          <w:sz w:val="28"/>
          <w:szCs w:val="28"/>
        </w:rPr>
        <w:lastRenderedPageBreak/>
        <w:t>компетентностного</w:t>
      </w:r>
      <w:proofErr w:type="spellEnd"/>
      <w:r>
        <w:rPr>
          <w:rFonts w:ascii="Times New Roman" w:hAnsi="Times New Roman" w:cs="Times New Roman"/>
          <w:sz w:val="28"/>
          <w:szCs w:val="28"/>
        </w:rPr>
        <w:t xml:space="preserve"> подхода, таким образом, состоит в создании образовательных условий превращения способов действия в средства действия».</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Тематика самостоятельности буквально как самостоятельная тема удерживалась в фокусе обсуждений на нескольких последующих конференциях и с особой остротой встала при обсуждении </w:t>
      </w:r>
      <w:r>
        <w:rPr>
          <w:rFonts w:ascii="Times New Roman" w:hAnsi="Times New Roman" w:cs="Times New Roman"/>
          <w:i/>
          <w:sz w:val="28"/>
          <w:szCs w:val="28"/>
        </w:rPr>
        <w:t>институциональных</w:t>
      </w:r>
      <w:r>
        <w:rPr>
          <w:rFonts w:ascii="Times New Roman" w:hAnsi="Times New Roman" w:cs="Times New Roman"/>
          <w:sz w:val="28"/>
          <w:szCs w:val="28"/>
        </w:rPr>
        <w:t xml:space="preserve"> </w:t>
      </w:r>
      <w:r>
        <w:rPr>
          <w:rFonts w:ascii="Times New Roman" w:hAnsi="Times New Roman" w:cs="Times New Roman"/>
          <w:i/>
          <w:sz w:val="28"/>
          <w:szCs w:val="28"/>
        </w:rPr>
        <w:t>переходов</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дискуссиях достаточно ясно, на мой взгляд, обозначились «места», в которых являет себя та самая динамика, о которой мы можем говорить как о развитии в результате образования или как об относительно естественных изменениях, которые случаются с человеком независимо, а часто </w:t>
      </w:r>
      <w:r>
        <w:rPr>
          <w:rFonts w:ascii="Times New Roman" w:hAnsi="Times New Roman" w:cs="Times New Roman"/>
          <w:sz w:val="28"/>
          <w:szCs w:val="28"/>
        </w:rPr>
        <w:noBreakHyphen/>
        <w:t xml:space="preserve"> и вопреки всяким нашим образовательным воздействиям.</w:t>
      </w:r>
      <w:proofErr w:type="gramEnd"/>
      <w:r>
        <w:rPr>
          <w:rFonts w:ascii="Times New Roman" w:hAnsi="Times New Roman" w:cs="Times New Roman"/>
          <w:sz w:val="28"/>
          <w:szCs w:val="28"/>
        </w:rPr>
        <w:t xml:space="preserve"> Интересно, что именно в тематике </w:t>
      </w:r>
      <w:r>
        <w:rPr>
          <w:rFonts w:ascii="Times New Roman" w:hAnsi="Times New Roman" w:cs="Times New Roman"/>
          <w:i/>
          <w:sz w:val="28"/>
          <w:szCs w:val="28"/>
        </w:rPr>
        <w:t>переходов</w:t>
      </w:r>
      <w:r>
        <w:rPr>
          <w:rFonts w:ascii="Times New Roman" w:hAnsi="Times New Roman" w:cs="Times New Roman"/>
          <w:sz w:val="28"/>
          <w:szCs w:val="28"/>
        </w:rPr>
        <w:t xml:space="preserve"> отчетливо обнаружилось следующее обстоятельство: те самые качества человека, на которые ориентируется современное образование (в интерпретации «Педагогики развития»), открываются именно в переходах и получают возможность оформления для самого развивающегося, переходя, таким образом, в разряд личных ресурсов.</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«Собирание» отдельных ориентиров-признаков взросления как развития начало буквально специально оформляться на конференции, посвященной движущим силам развития. Причем такого рода работа строилась на критическом анализе современной образовательной действительности и ее тенденций. Отмечая разрушение старых представлений о связях между поколениями и утрате прежних форм трансляции культуры, Катерина Николаевна Поливанова сформулировала и тот комплекс, которым мы характеризовали образовательный ориентир. Но сформулировала как такую триаду, которая попала в зону риска: «…сегодня герой Нового времени – самостоятельный, ответственный, осознанно действующий, уступает место герою </w:t>
      </w:r>
      <w:proofErr w:type="spellStart"/>
      <w:r>
        <w:rPr>
          <w:rFonts w:ascii="Times New Roman" w:hAnsi="Times New Roman" w:cs="Times New Roman"/>
          <w:sz w:val="28"/>
          <w:szCs w:val="28"/>
        </w:rPr>
        <w:t>Постсовременности</w:t>
      </w:r>
      <w:proofErr w:type="spellEnd"/>
      <w:r>
        <w:rPr>
          <w:rFonts w:ascii="Times New Roman" w:hAnsi="Times New Roman" w:cs="Times New Roman"/>
          <w:sz w:val="28"/>
          <w:szCs w:val="28"/>
        </w:rPr>
        <w:t xml:space="preserve"> – воспринимающему, потребляющему, переживающему» [3]. </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теперь еще раз обратиться к вопросу о том, что же в образовательных практиках выступает как исходный материал, который преобразуется и приобретает новые качества в условиях образовательных взаимодействий, то не так уж сложно обнаружить генетически исходную форму инициативы – детское любопытство и спонтанность. Оно (это любопытство), встречаясь (сталкиваясь) с культурными ограничениями, может при определенных условиях приобрести черты инициативы как способности к порождению идей, которые, в свою очередь, могут выступать генераторами преобразующих действий. </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 этот генезис любопытства в </w:t>
      </w:r>
      <w:proofErr w:type="spellStart"/>
      <w:r>
        <w:rPr>
          <w:rFonts w:ascii="Times New Roman" w:hAnsi="Times New Roman" w:cs="Times New Roman"/>
          <w:sz w:val="28"/>
          <w:szCs w:val="28"/>
        </w:rPr>
        <w:t>идиирование</w:t>
      </w:r>
      <w:proofErr w:type="spellEnd"/>
      <w:r>
        <w:rPr>
          <w:rFonts w:ascii="Times New Roman" w:hAnsi="Times New Roman" w:cs="Times New Roman"/>
          <w:sz w:val="28"/>
          <w:szCs w:val="28"/>
        </w:rPr>
        <w:t xml:space="preserve">-инициативу предполагает преодоление зависимостей и приобретение самостоятельности как достаточности собственных ресурсов для осуществления требуемого преобразования. Такого рода динамика (от зависимости </w:t>
      </w:r>
      <w:r>
        <w:rPr>
          <w:rFonts w:ascii="Times New Roman" w:hAnsi="Times New Roman" w:cs="Times New Roman"/>
          <w:sz w:val="28"/>
          <w:szCs w:val="28"/>
        </w:rPr>
        <w:noBreakHyphen/>
        <w:t xml:space="preserve"> к автономии) невозможна без того самого движителя, которым является любопытство-инициатива.</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Дальнейшее образование этой «пары» (инициатива</w:t>
      </w:r>
      <w:r>
        <w:rPr>
          <w:rFonts w:ascii="Times New Roman" w:hAnsi="Times New Roman" w:cs="Times New Roman"/>
          <w:sz w:val="28"/>
          <w:szCs w:val="28"/>
        </w:rPr>
        <w:noBreakHyphen/>
        <w:t>самостоятельность) попадает в зону сильнейшего социального риска, т.к. для своей реализации и выживания должно быть согласовано с социальным контекстом, что требует предвиденья и учета связи «действие</w:t>
      </w:r>
      <w:r>
        <w:rPr>
          <w:rFonts w:ascii="Times New Roman" w:hAnsi="Times New Roman" w:cs="Times New Roman"/>
          <w:sz w:val="28"/>
          <w:szCs w:val="28"/>
        </w:rPr>
        <w:noBreakHyphen/>
        <w:t xml:space="preserve">последствие», а также специальных ресурсов для корректировки преобразующего действия в условиях изменяющихся контекстов и средств компенсации, переживания </w:t>
      </w:r>
      <w:proofErr w:type="spellStart"/>
      <w:r>
        <w:rPr>
          <w:rFonts w:ascii="Times New Roman" w:hAnsi="Times New Roman" w:cs="Times New Roman"/>
          <w:i/>
          <w:sz w:val="28"/>
          <w:szCs w:val="28"/>
        </w:rPr>
        <w:t>недостижений</w:t>
      </w:r>
      <w:proofErr w:type="spellEnd"/>
      <w:r>
        <w:rPr>
          <w:rFonts w:ascii="Times New Roman" w:hAnsi="Times New Roman" w:cs="Times New Roman"/>
          <w:sz w:val="28"/>
          <w:szCs w:val="28"/>
        </w:rPr>
        <w:t>. Таким образом, к известной паре присоединяется ответственность, формирование которой необходимым образом связано с «приобретением в собственность» различных видов ресурсов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витальных до социальных, духовных). </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риск, сформулированный Катериной Николаевной Поливановой, </w:t>
      </w:r>
      <w:r>
        <w:rPr>
          <w:rFonts w:ascii="Times New Roman" w:hAnsi="Times New Roman" w:cs="Times New Roman"/>
          <w:sz w:val="28"/>
          <w:szCs w:val="28"/>
        </w:rPr>
        <w:noBreakHyphen/>
        <w:t xml:space="preserve"> риск естественной трансформации ключевых и целевых ориентиров образования в некоторые инфантильно-реактивные характеристики связан, </w:t>
      </w:r>
      <w:proofErr w:type="gramStart"/>
      <w:r>
        <w:rPr>
          <w:rFonts w:ascii="Times New Roman" w:hAnsi="Times New Roman" w:cs="Times New Roman"/>
          <w:sz w:val="28"/>
          <w:szCs w:val="28"/>
        </w:rPr>
        <w:t>по видимому</w:t>
      </w:r>
      <w:proofErr w:type="gramEnd"/>
      <w:r>
        <w:rPr>
          <w:rFonts w:ascii="Times New Roman" w:hAnsi="Times New Roman" w:cs="Times New Roman"/>
          <w:sz w:val="28"/>
          <w:szCs w:val="28"/>
        </w:rPr>
        <w:t xml:space="preserve">, с устойчивым институциональным патернализмом, упорно воспроизводящим традиционные отношения, в </w:t>
      </w:r>
      <w:r>
        <w:rPr>
          <w:rFonts w:ascii="Times New Roman" w:hAnsi="Times New Roman" w:cs="Times New Roman"/>
          <w:sz w:val="28"/>
          <w:szCs w:val="28"/>
        </w:rPr>
        <w:lastRenderedPageBreak/>
        <w:t xml:space="preserve">которых именно динамика инициативы, самостоятельности и ответственности откладывается на какой-то </w:t>
      </w:r>
      <w:proofErr w:type="spellStart"/>
      <w:r>
        <w:rPr>
          <w:rFonts w:ascii="Times New Roman" w:hAnsi="Times New Roman" w:cs="Times New Roman"/>
          <w:sz w:val="28"/>
          <w:szCs w:val="28"/>
        </w:rPr>
        <w:t>послеобразовательный</w:t>
      </w:r>
      <w:proofErr w:type="spellEnd"/>
      <w:r>
        <w:rPr>
          <w:rFonts w:ascii="Times New Roman" w:hAnsi="Times New Roman" w:cs="Times New Roman"/>
          <w:sz w:val="28"/>
          <w:szCs w:val="28"/>
        </w:rPr>
        <w:t xml:space="preserve"> период.</w:t>
      </w:r>
    </w:p>
    <w:p w:rsidR="00D04FA0" w:rsidRDefault="00D04FA0" w:rsidP="00D0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Отчетливое понимание этого риска требует от нас как от сообщества (по крайней мере, той его части, которая объединяется ежегодной конференцией по педагогике развития), как минимум, специально актуализировать те самые  составляющие главного образовательного ориентира: «Инициатива. Самостоятельность. Ответственность». И не только в контексте их </w:t>
      </w:r>
      <w:proofErr w:type="gramStart"/>
      <w:r>
        <w:rPr>
          <w:rFonts w:ascii="Times New Roman" w:hAnsi="Times New Roman" w:cs="Times New Roman"/>
          <w:sz w:val="28"/>
          <w:szCs w:val="28"/>
        </w:rPr>
        <w:t>возрастного-институционального</w:t>
      </w:r>
      <w:proofErr w:type="gramEnd"/>
      <w:r>
        <w:rPr>
          <w:rFonts w:ascii="Times New Roman" w:hAnsi="Times New Roman" w:cs="Times New Roman"/>
          <w:sz w:val="28"/>
          <w:szCs w:val="28"/>
        </w:rPr>
        <w:t xml:space="preserve"> генезиса, но и в контексте их связности и устойчивости именно как актуальных практик и одновременно ориентиров, т.е. назначений развития.</w:t>
      </w:r>
    </w:p>
    <w:p w:rsidR="00D04FA0" w:rsidRDefault="00D04FA0" w:rsidP="00D04FA0">
      <w:pPr>
        <w:spacing w:after="0" w:line="360" w:lineRule="auto"/>
        <w:jc w:val="both"/>
        <w:rPr>
          <w:rFonts w:ascii="Times New Roman" w:hAnsi="Times New Roman" w:cs="Times New Roman"/>
          <w:sz w:val="28"/>
          <w:szCs w:val="28"/>
        </w:rPr>
      </w:pPr>
    </w:p>
    <w:p w:rsidR="00D04FA0" w:rsidRDefault="00D04FA0" w:rsidP="00D04FA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D04FA0" w:rsidRDefault="00D04FA0" w:rsidP="00D04FA0">
      <w:pPr>
        <w:pStyle w:val="a3"/>
        <w:numPr>
          <w:ilvl w:val="0"/>
          <w:numId w:val="1"/>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Давыдов В.В. Педагогика развития и теория рекапитуляции // Материалы 6-й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практ</w:t>
      </w:r>
      <w:proofErr w:type="spellEnd"/>
      <w:r>
        <w:rPr>
          <w:rFonts w:ascii="Times New Roman" w:hAnsi="Times New Roman"/>
          <w:sz w:val="28"/>
          <w:szCs w:val="28"/>
        </w:rPr>
        <w:t>. конференции «Педагогика развития: возрастная динамика и ступени образования». Часть 1. Красноярск, 1997.</w:t>
      </w:r>
    </w:p>
    <w:p w:rsidR="00D04FA0" w:rsidRDefault="00D04FA0" w:rsidP="00D04FA0">
      <w:pPr>
        <w:pStyle w:val="a3"/>
        <w:numPr>
          <w:ilvl w:val="0"/>
          <w:numId w:val="1"/>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Островерх О.С., Свиридова О.И., </w:t>
      </w:r>
      <w:proofErr w:type="spellStart"/>
      <w:r>
        <w:rPr>
          <w:rFonts w:ascii="Times New Roman" w:hAnsi="Times New Roman"/>
          <w:sz w:val="28"/>
          <w:szCs w:val="28"/>
        </w:rPr>
        <w:t>Эльконин</w:t>
      </w:r>
      <w:proofErr w:type="spellEnd"/>
      <w:r>
        <w:rPr>
          <w:rFonts w:ascii="Times New Roman" w:hAnsi="Times New Roman"/>
          <w:sz w:val="28"/>
          <w:szCs w:val="28"/>
        </w:rPr>
        <w:t xml:space="preserve"> Б.Д. Становление индивидуального учебного действия // Материалы 5-й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практ</w:t>
      </w:r>
      <w:proofErr w:type="spellEnd"/>
      <w:r>
        <w:rPr>
          <w:rFonts w:ascii="Times New Roman" w:hAnsi="Times New Roman"/>
          <w:sz w:val="28"/>
          <w:szCs w:val="28"/>
        </w:rPr>
        <w:t>. конференции «Педагогика развития: проблема образовательных результатов (эффектов)». Красноярск, 1998 .</w:t>
      </w:r>
    </w:p>
    <w:p w:rsidR="00D04FA0" w:rsidRDefault="00D04FA0" w:rsidP="00D04FA0">
      <w:pPr>
        <w:pStyle w:val="a3"/>
        <w:numPr>
          <w:ilvl w:val="0"/>
          <w:numId w:val="1"/>
        </w:numPr>
        <w:suppressAutoHyphens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Поливанова К.Н. Изменение практик развития и его последствия // Материалы 17-й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практ</w:t>
      </w:r>
      <w:proofErr w:type="spellEnd"/>
      <w:r>
        <w:rPr>
          <w:rFonts w:ascii="Times New Roman" w:hAnsi="Times New Roman"/>
          <w:sz w:val="28"/>
          <w:szCs w:val="28"/>
        </w:rPr>
        <w:t>. конференции «Педагогика развития: движущие силы и практики развития», Красноярск, 2010.</w:t>
      </w:r>
    </w:p>
    <w:p w:rsidR="00D04FA0" w:rsidRDefault="00D04FA0" w:rsidP="00D04FA0">
      <w:pPr>
        <w:spacing w:after="0" w:line="360" w:lineRule="auto"/>
        <w:ind w:firstLine="709"/>
        <w:jc w:val="both"/>
        <w:rPr>
          <w:rFonts w:ascii="Times New Roman" w:hAnsi="Times New Roman" w:cs="Times New Roman"/>
          <w:sz w:val="28"/>
          <w:szCs w:val="28"/>
        </w:rPr>
      </w:pPr>
    </w:p>
    <w:p w:rsidR="00D04FA0" w:rsidRDefault="00D04FA0" w:rsidP="00D04FA0">
      <w:pPr>
        <w:spacing w:after="0" w:line="360" w:lineRule="auto"/>
        <w:ind w:firstLine="709"/>
        <w:jc w:val="both"/>
        <w:rPr>
          <w:rFonts w:ascii="Times New Roman" w:hAnsi="Times New Roman" w:cs="Times New Roman"/>
          <w:sz w:val="28"/>
          <w:szCs w:val="28"/>
        </w:rPr>
      </w:pPr>
    </w:p>
    <w:p w:rsidR="00BD0577" w:rsidRDefault="00BD0577"/>
    <w:sectPr w:rsidR="00BD0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C22AC"/>
    <w:multiLevelType w:val="hybridMultilevel"/>
    <w:tmpl w:val="2FD2F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5A"/>
    <w:rsid w:val="00B2495A"/>
    <w:rsid w:val="00BD0577"/>
    <w:rsid w:val="00D0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FA0"/>
    <w:pPr>
      <w:tabs>
        <w:tab w:val="left" w:pos="709"/>
      </w:tabs>
      <w:suppressAutoHyphens/>
      <w:spacing w:line="276" w:lineRule="atLeast"/>
    </w:pPr>
    <w:rPr>
      <w:rFonts w:ascii="Calibri" w:eastAsia="DejaVu Sans" w:hAnsi="Calibri" w:cs="Times New Roman"/>
      <w:color w:val="00000A"/>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FA0"/>
    <w:pPr>
      <w:tabs>
        <w:tab w:val="left" w:pos="709"/>
      </w:tabs>
      <w:suppressAutoHyphens/>
      <w:spacing w:line="276" w:lineRule="atLeast"/>
    </w:pPr>
    <w:rPr>
      <w:rFonts w:ascii="Calibri" w:eastAsia="DejaVu Sans" w:hAnsi="Calibri" w:cs="Times New Roman"/>
      <w:color w:val="00000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1549</Words>
  <Characters>8835</Characters>
  <Application>Microsoft Office Word</Application>
  <DocSecurity>0</DocSecurity>
  <Lines>73</Lines>
  <Paragraphs>20</Paragraphs>
  <ScaleCrop>false</ScaleCrop>
  <Company>Krokoz™</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2013-11-30T07:10:00Z</dcterms:created>
  <dcterms:modified xsi:type="dcterms:W3CDTF">2013-11-30T07:10:00Z</dcterms:modified>
</cp:coreProperties>
</file>