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68" w:rsidRDefault="007F0168" w:rsidP="007F016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Болотов В.А.</w:t>
      </w:r>
    </w:p>
    <w:p w:rsidR="007F0168" w:rsidRDefault="007F0168" w:rsidP="007F016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Свобода в обмен на результат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Начну с трех вводных сюжетов.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90-х годов в одном из сибирских городов группа молодых людей после участия в оргдеятельностных играх решили создать начальную школу, в которой будут учить мышлению. Поскольку в те годы всеми декларировалась свобода школы от контроля чиновников, то лишь через три года родители с ужасом обнаружили, что дети с удовольствием болтают о чем угодно, но писать и считать не умеют. 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середине 90-х годов мы с группой коллег, обсуждая проблемы инспектирования, лицензирования, аттестации и аккредитации, пришли к выводу, что если мы можем операционально описать  результаты образования и регулярно проверять их достижение, то контроль за образовательным процессом не нужен. Другими словами, контроль за процессом нужен лишь тогда, когда невозможно описать результаты. Результаты обученности можно проверять – следовательно, учитель и школа свободны в выборе методик. Результаты воспитательного процесса непосредственно проверить невозможно – придется контролировать процесс. Конечно, это упрощенная модель, но её можно использовать при обсуждении проблем ответственности и свободы.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2012 года Е. Рачевский на встрече с президентом России предложил меньше контролировать школы, которые устойчиво дают хорошие результаты. Все участники встречи, включая президента, это поддержали.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изложенными сюжетами вопрос о проверяемом результате образования становится все более актуальным, и это не только российская ситуация.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объема статьи не буду приводить ещё аргументы о необходимости (и необратимости) введения различных систем оценки </w:t>
      </w:r>
      <w:r>
        <w:rPr>
          <w:rFonts w:ascii="Times New Roman" w:hAnsi="Times New Roman"/>
          <w:sz w:val="28"/>
          <w:szCs w:val="28"/>
        </w:rPr>
        <w:lastRenderedPageBreak/>
        <w:t xml:space="preserve">качества образования (ОКО) и сразу перейду к описанию существующего положения дел и ближайших перспективах с оценкой качества образования. 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сначала о терминах. При наличии множества подходов к понятию качества образования сегодня в основном используется следующее рабочее определение: </w:t>
      </w:r>
      <w:r>
        <w:rPr>
          <w:rFonts w:ascii="Times New Roman" w:hAnsi="Times New Roman"/>
          <w:bCs/>
          <w:i/>
          <w:iCs/>
          <w:sz w:val="28"/>
          <w:szCs w:val="28"/>
        </w:rPr>
        <w:t>качество образования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noBreakHyphen/>
        <w:t xml:space="preserve"> </w:t>
      </w:r>
      <w:r>
        <w:rPr>
          <w:rFonts w:ascii="Times New Roman" w:hAnsi="Times New Roman"/>
          <w:sz w:val="28"/>
          <w:szCs w:val="28"/>
        </w:rPr>
        <w:t xml:space="preserve">характеристики системы образования, отражающие степень соответствия реальных достигаемых образовательных результатов учащимися и условий обеспечения образовательного процесса образовательными учреждениями и их системами нормативным требованиям, социальным и личностным ожиданиям. </w:t>
      </w:r>
      <w:r>
        <w:rPr>
          <w:rFonts w:ascii="Times New Roman" w:hAnsi="Times New Roman"/>
          <w:bCs/>
          <w:i/>
          <w:iCs/>
          <w:sz w:val="28"/>
          <w:szCs w:val="28"/>
        </w:rPr>
        <w:t>Оценка качества образования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это объективная </w:t>
      </w:r>
      <w:r>
        <w:rPr>
          <w:rFonts w:ascii="Times New Roman" w:hAnsi="Times New Roman"/>
          <w:i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образовательных достижений обучающихся; эффективности реализации образовательного процесса в образовательном учреждении; оценка эффективности деятельности всей образовательной системы страны и ее территориальных подсистем. </w:t>
      </w:r>
      <w:r>
        <w:rPr>
          <w:rFonts w:ascii="Times New Roman" w:hAnsi="Times New Roman"/>
          <w:i/>
          <w:sz w:val="28"/>
          <w:szCs w:val="28"/>
        </w:rPr>
        <w:t>Способы проведения оценки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для оценки эффективности систем и учреждений используются в основном международные сравнительные исследования (далее </w:t>
      </w:r>
      <w:r>
        <w:rPr>
          <w:rFonts w:ascii="Times New Roman" w:hAnsi="Times New Roman"/>
          <w:sz w:val="28"/>
          <w:szCs w:val="28"/>
        </w:rPr>
        <w:noBreakHyphen/>
        <w:t xml:space="preserve"> МСИ); национальные, региональные и школьные мониторинги (далее </w:t>
      </w:r>
      <w:r>
        <w:rPr>
          <w:rFonts w:ascii="Times New Roman" w:hAnsi="Times New Roman"/>
          <w:sz w:val="28"/>
          <w:szCs w:val="28"/>
        </w:rPr>
        <w:noBreakHyphen/>
        <w:t xml:space="preserve"> НМ, РМ и ШМ). Для оценки индивидуальных достижений учащихся используются итоговые испытания (ЕГЭ и ГИА-9); методики, измеряющие индивидуальный прогресс конкретного ученика (далее </w:t>
      </w:r>
      <w:r>
        <w:rPr>
          <w:rFonts w:ascii="Times New Roman" w:hAnsi="Times New Roman"/>
          <w:sz w:val="28"/>
          <w:szCs w:val="28"/>
        </w:rPr>
        <w:noBreakHyphen/>
        <w:t xml:space="preserve"> ИП) в изучении предметов и освоении тех или иных учебных компетенций; различные описания внеучебных достижений учащихся – портфолио (далее </w:t>
      </w:r>
      <w:r>
        <w:rPr>
          <w:rFonts w:ascii="Times New Roman" w:hAnsi="Times New Roman"/>
          <w:sz w:val="28"/>
          <w:szCs w:val="28"/>
        </w:rPr>
        <w:noBreakHyphen/>
        <w:t xml:space="preserve"> ПФ).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Международные сравнительные исследования. </w:t>
      </w:r>
      <w:r>
        <w:rPr>
          <w:rFonts w:ascii="Times New Roman" w:hAnsi="Times New Roman"/>
          <w:sz w:val="28"/>
          <w:szCs w:val="28"/>
        </w:rPr>
        <w:t xml:space="preserve">С 1991 года Россия принимает участие в различных МСИ и использует получаемые результаты для </w:t>
      </w:r>
      <w:r>
        <w:rPr>
          <w:rFonts w:ascii="Times New Roman" w:hAnsi="Times New Roman"/>
          <w:bCs/>
          <w:sz w:val="28"/>
          <w:szCs w:val="28"/>
        </w:rPr>
        <w:t xml:space="preserve">сравнения своей системы образования с системами образования развитых стран по  </w:t>
      </w:r>
      <w:r>
        <w:rPr>
          <w:rFonts w:ascii="Times New Roman" w:hAnsi="Times New Roman"/>
          <w:sz w:val="28"/>
          <w:szCs w:val="28"/>
        </w:rPr>
        <w:t>принятым в международном сообществе представлений о качестве образования. Подробно существующий опыт и ближайшие перспективы описаны на сайте Центра ОКО Института содержания и методов обучения РАО,</w:t>
      </w:r>
      <w:r>
        <w:rPr>
          <w:rStyle w:val="a6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поэтому только уточним</w:t>
      </w:r>
      <w:r>
        <w:rPr>
          <w:rFonts w:ascii="Times New Roman" w:hAnsi="Times New Roman"/>
          <w:bCs/>
          <w:sz w:val="28"/>
          <w:szCs w:val="28"/>
        </w:rPr>
        <w:t xml:space="preserve">, что в </w:t>
      </w:r>
      <w:r>
        <w:rPr>
          <w:rFonts w:ascii="Times New Roman" w:hAnsi="Times New Roman"/>
          <w:bCs/>
          <w:sz w:val="28"/>
          <w:szCs w:val="28"/>
          <w:lang w:val="en-US"/>
        </w:rPr>
        <w:t>PIRLS</w:t>
      </w:r>
      <w:r w:rsidRPr="007F016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проверялись прежде всего умения работать с различными текстами выпускников начальной школы, в </w:t>
      </w: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>PISA</w:t>
      </w:r>
      <w:r>
        <w:rPr>
          <w:rFonts w:ascii="Times New Roman" w:hAnsi="Times New Roman"/>
          <w:bCs/>
          <w:sz w:val="28"/>
          <w:szCs w:val="28"/>
        </w:rPr>
        <w:t xml:space="preserve"> – умение использовать знания, полученные в основной школе, за пределами учебных ситуаций. Эти представления о результатах обучения в начальной и основной школе </w:t>
      </w:r>
      <w:r>
        <w:rPr>
          <w:rFonts w:ascii="Times New Roman" w:hAnsi="Times New Roman"/>
          <w:sz w:val="28"/>
          <w:szCs w:val="28"/>
        </w:rPr>
        <w:t xml:space="preserve">были использованы при создании последнего поколения российских образовательных </w:t>
      </w:r>
      <w:r>
        <w:rPr>
          <w:rFonts w:ascii="Times New Roman" w:hAnsi="Times New Roman"/>
          <w:bCs/>
          <w:sz w:val="28"/>
          <w:szCs w:val="28"/>
        </w:rPr>
        <w:t>стандартов. Основным риском при участии в МСИ является поспешное принятие каких-либо решений только на основе результатов МСИ. Избежать этой ситуации можно за счет дополнительных страновых исследований. Только в таком случае возможно говорить об объективных данных и корректном использовании полученной информации в образовательном процессе. Ряд таких исследований описан на упомянутом выше сайте, а также на сайте Высшей школы экономики.</w:t>
      </w:r>
      <w:r>
        <w:rPr>
          <w:rStyle w:val="a6"/>
          <w:bCs/>
          <w:sz w:val="28"/>
          <w:szCs w:val="28"/>
        </w:rPr>
        <w:footnoteReference w:id="2"/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Национальные и региональные мониторинги. </w:t>
      </w:r>
      <w:r>
        <w:rPr>
          <w:rFonts w:ascii="Times New Roman" w:hAnsi="Times New Roman"/>
          <w:sz w:val="28"/>
          <w:szCs w:val="28"/>
        </w:rPr>
        <w:t>В России было несколько попыток провести национальные мониторинги. Наиболее известен т.н. «широкомасштабный эксперимент по оценке качества образования», но реальных изменений для системы образования они не повлекли – прежде всего из-за отсутствия реального заказчика. Сегодня роль НМ и РМ совершенно неправомерно играют ЕГЭ и ГИА-9. Во-первых, высокие (особенно сверхвысокие) баллы ЕГЭ зачастую связаны не с заслугами самой школы, а с внешкольными обстоятельствами, в том числе доступностью высококвалифицированных репетиторов и социально-экономическим статусом семьи. Последний фактор играет и на результаты ГИА-9. Кроме того, эти экзамены являются испытаниями с высокими ставками, что влечет, в отличие от мониторингов, высокий риск фальсификации. По этим основаниям  использовать для оценки реального состояния дел в системе образования и отдельных образовательных учреждений только результаты ЕГЭ и ГИА-9 нельзя.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участие России в МСИ ставит вопрос о возобновлении настоящих НМ для более глубокого анализа ситуации с владением нашими школьниками компетенциями, необходимыми для жизни и деятельности в сегодняшнем быстро меняющемся мире. Это позволит оперативно готовить </w:t>
      </w:r>
      <w:r>
        <w:rPr>
          <w:rFonts w:ascii="Times New Roman" w:hAnsi="Times New Roman"/>
          <w:sz w:val="28"/>
          <w:szCs w:val="28"/>
        </w:rPr>
        <w:lastRenderedPageBreak/>
        <w:t>предложения по коррекции школьных стандартов, учебной литературы, а также содержания подготовки и повышения квалификации педагогов.</w:t>
      </w:r>
    </w:p>
    <w:p w:rsidR="007F0168" w:rsidRDefault="007F0168" w:rsidP="007F0168">
      <w:pPr>
        <w:pStyle w:val="1"/>
        <w:spacing w:before="0" w:beforeAutospacing="0" w:after="0" w:afterAutospacing="0" w:line="360" w:lineRule="auto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Основанием для проведения НМ является и опыт нескольких регионов по проведению РМ, в частности, Татарстана по анализу компетенций, связанных с умением работать с информацией</w:t>
      </w:r>
      <w:r>
        <w:rPr>
          <w:rStyle w:val="a6"/>
          <w:rFonts w:eastAsia="Calibri"/>
          <w:b w:val="0"/>
          <w:sz w:val="28"/>
          <w:szCs w:val="28"/>
        </w:rPr>
        <w:footnoteReference w:id="3"/>
      </w:r>
      <w:r>
        <w:rPr>
          <w:rFonts w:eastAsia="Calibri"/>
          <w:b w:val="0"/>
          <w:sz w:val="28"/>
          <w:szCs w:val="28"/>
        </w:rPr>
        <w:t>; опыт Тамбовской области по изучению освоения предметных знаний и компетенций школьниками разных возрастов и др.</w:t>
      </w:r>
      <w:r>
        <w:rPr>
          <w:rStyle w:val="a6"/>
          <w:rFonts w:eastAsia="Calibri"/>
          <w:b w:val="0"/>
          <w:sz w:val="28"/>
          <w:szCs w:val="28"/>
        </w:rPr>
        <w:footnoteReference w:id="4"/>
      </w:r>
      <w:r>
        <w:rPr>
          <w:rFonts w:eastAsia="Calibri"/>
          <w:b w:val="0"/>
          <w:color w:val="FF0000"/>
          <w:sz w:val="28"/>
          <w:szCs w:val="28"/>
        </w:rPr>
        <w:t xml:space="preserve"> </w:t>
      </w:r>
      <w:r>
        <w:rPr>
          <w:rFonts w:eastAsia="Calibri"/>
          <w:b w:val="0"/>
          <w:sz w:val="28"/>
          <w:szCs w:val="28"/>
        </w:rPr>
        <w:t>Представляется интересным и опыт ряда регионов (г. Москвы, Красноярского края, Тверской, Калининградской и др.) в организации мониторинга образовательных достижений в начальной школе, который начинается с оценки комплексной готовности к обучению в школе, основанной на адаптационном подходе. Результаты данных мониторингов привлекают внимание профессиональной общественности и СМИ (проект «Портрет московского первоклассника», реализованный Московским центром качества образования, Центром оценки качества образования Института содержания и методов обучения РАО при поддержке проекта «Социальный навигатор» РИА Новости</w:t>
      </w:r>
      <w:r>
        <w:rPr>
          <w:rStyle w:val="a6"/>
          <w:rFonts w:eastAsia="Calibri"/>
          <w:b w:val="0"/>
          <w:sz w:val="28"/>
          <w:szCs w:val="28"/>
        </w:rPr>
        <w:footnoteReference w:id="5"/>
      </w:r>
      <w:r>
        <w:rPr>
          <w:rFonts w:eastAsia="Calibri"/>
          <w:b w:val="0"/>
          <w:sz w:val="28"/>
          <w:szCs w:val="28"/>
        </w:rPr>
        <w:t>).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для меня наиболее значимым основанием для проведения НМ является ситуация с освоением выпускниками разных ступеней школы знаний и учебных компетенций в соответствии с новыми образовательными стандартами. Сейчас идет эксперимент по проведению мониторинга в ряде регионов по введению ФГОС начальной школы</w:t>
      </w:r>
      <w:r>
        <w:rPr>
          <w:rStyle w:val="a6"/>
          <w:sz w:val="28"/>
          <w:szCs w:val="28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 и очевидно, что в перспективе должны быть НМ по освоению стандартов для всех ступеней школьного образования.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требует дополнительного изучения вопрос о проведении НМ для изучения вопроса о получении качественного образования для детей из различных групп риска </w:t>
      </w:r>
      <w:r>
        <w:rPr>
          <w:rFonts w:ascii="Times New Roman" w:hAnsi="Times New Roman"/>
          <w:sz w:val="28"/>
          <w:szCs w:val="28"/>
        </w:rPr>
        <w:noBreakHyphen/>
        <w:t xml:space="preserve"> детей с девиантным поведением, с ограниченными возможностями здоровья, родным нерусским языком, из семей мигрантов, из сельской местности и др. Задачей для РМ может быть </w:t>
      </w:r>
      <w:r>
        <w:rPr>
          <w:rFonts w:ascii="Times New Roman" w:hAnsi="Times New Roman"/>
          <w:sz w:val="28"/>
          <w:szCs w:val="28"/>
        </w:rPr>
        <w:lastRenderedPageBreak/>
        <w:t>любая из перечисленных выше, при этом достаточно высокий уровень различия между российскими регионами может привести к появлению сугубо специфических тем для мониторинга в конкретном регионе. Основным риском при проведении НМ и РМ является «лобовое» использование их результатов для составления рейтингов и, соответственно, принятия административных решений без учета т.н. контекстных показателей.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Школьные мониторинги. </w:t>
      </w:r>
      <w:r>
        <w:rPr>
          <w:rFonts w:ascii="Times New Roman" w:hAnsi="Times New Roman"/>
          <w:sz w:val="28"/>
          <w:szCs w:val="28"/>
        </w:rPr>
        <w:t xml:space="preserve">Школьные мониторинги сегодня (даже если они и проводятся) чаще всего сводятся только к проверке обученности, поскольку качество деятельности образовательных учреждений  до сих пор многие (в том числе и управленцы) оценивают только по результатам ЕГЭ и ГИА-9. В некотором смысле это продолжение советских традиций, когда в массовом сознании старшая школа считалась хорошей, если по её завершении достаточно большое число выпускников поступал в высшие учебные заведения. Однако ставить во главу угла только академическу успешность мне кажется очень сомнительным. На мой взгляд, надо обсуждать успешную социализацию выпускников, и она не сводится только к поступлению в вузы </w:t>
      </w:r>
      <w:r>
        <w:rPr>
          <w:rFonts w:ascii="Times New Roman" w:hAnsi="Times New Roman"/>
          <w:sz w:val="28"/>
          <w:szCs w:val="28"/>
        </w:rPr>
        <w:noBreakHyphen/>
        <w:t xml:space="preserve"> необходимо вводить мониторинги, нацеленные на анализ ситуации с социализацией выпускников в широком контексте (место работы, семейное положение, общественно-полезная активность и т.п.). Для начальной школы необходимо вводить, кроме предметных мониторингов, ШМ, связанные с учебной деятельностью (в данном контексте не важно – в понимании Эльконина</w:t>
      </w:r>
      <w:r>
        <w:rPr>
          <w:rFonts w:ascii="Times New Roman" w:hAnsi="Times New Roman"/>
          <w:sz w:val="28"/>
          <w:szCs w:val="28"/>
        </w:rPr>
        <w:noBreakHyphen/>
        <w:t xml:space="preserve">Давыдова или Занкова), либо брать линию, связанную с контекстом международного сравнительного мониторинга </w:t>
      </w:r>
      <w:r>
        <w:rPr>
          <w:rFonts w:ascii="Times New Roman" w:hAnsi="Times New Roman"/>
          <w:sz w:val="28"/>
          <w:szCs w:val="28"/>
          <w:lang w:val="en-US"/>
        </w:rPr>
        <w:t>PIRLS</w:t>
      </w:r>
      <w:r>
        <w:rPr>
          <w:rFonts w:ascii="Times New Roman" w:hAnsi="Times New Roman"/>
          <w:sz w:val="28"/>
          <w:szCs w:val="28"/>
        </w:rPr>
        <w:t xml:space="preserve"> – проверка грамотности, понимаемой в широком смысле (прежде всего – умение понимать содержание самых разных текстов), либо искать их сочетание. В новых стандартах начальной школы это направление обозначено как формирование универсальных учебных действий. В основной школе надо вводить ШМ, связанные с переходом старшей школы на профильное обучение. Другими словами, необходимо уже в основной школе </w:t>
      </w:r>
      <w:r>
        <w:rPr>
          <w:rFonts w:ascii="Times New Roman" w:hAnsi="Times New Roman"/>
          <w:sz w:val="28"/>
          <w:szCs w:val="28"/>
        </w:rPr>
        <w:lastRenderedPageBreak/>
        <w:t xml:space="preserve">изучать вопрос об освоении выпускниками навыков, связанных с построением собственной образовательной траектории. И если проверку освоения знаний и компетенций в общем-то научились делать, то ситуация с проверкой навыков «самостроительства» гораздо сложнее, и тут надо проверять  не школьников, а наличие в школе пространства для совершения «проб и ошибок» учениками (например, наличие возможности выбирать и менять факультативы, участвовать в различных учебных и внеучебных проектах и т.д.). 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сложная ситуация с оценкой волевых и моральных качеств учащихся, необходимых для продолжения обучения и успешной социализации, и в этом случае надо проверять не самих учащихся, а образовательное учреждение – создает ли оно условия для формирования соответствующих морально-волевых качеств у своих учеников. Речь идет прежде всего о наличии «общественного» пространства школы, где должно быть место для самоопределения, ответственного выбора, совершения поступков.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завершении темы ШМ нужно отметить, что они могут проводится либо самой школой, либо внешней организацией и их результаты должны стать основой для принятия решения об аккредитации школы. Основные риски – те же, что и для НМ и РМ, но к ним добавляется угроза использования при проведении некачественных тестов и анкет.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Оценка индивидуальных достижений учащихся. </w:t>
      </w:r>
      <w:r>
        <w:rPr>
          <w:rFonts w:ascii="Times New Roman" w:hAnsi="Times New Roman"/>
          <w:sz w:val="28"/>
          <w:szCs w:val="28"/>
        </w:rPr>
        <w:t>В этом разделе речь пойдет не о ситуации и перспективах ЕГЭ и ГИА-9, поскольку эта проблематика подробно освещается на сайтах Рособрнадзора и его подведомственных учреждений.</w:t>
      </w:r>
      <w:r>
        <w:rPr>
          <w:rStyle w:val="a6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Необходимо лишь отметить, что решение вопроса о введении базового и профильного уровня для обязательных экзаменов по русскому языку и математике чрезмерно затянулось и что требуется ускорить решение задачи по взаимосвязи ЕГЭ и ГИА-9.</w:t>
      </w:r>
    </w:p>
    <w:p w:rsidR="007F0168" w:rsidRDefault="007F0168" w:rsidP="007F0168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lastRenderedPageBreak/>
        <w:t>В настоящий период сверхактуальной задачей является разработка и введение методик оценки индивидуального прогресса учащихся (иногда называемых методиками формирующего оценивания), поскольку без решения этой задачи будет нарастать угроза профанации ЕГЭ и ГИА-9, связанной с тотальным переходом на натаскивание к итоговым испытанием в выпускных классах. В настоящий  момент есть некоторые наработки в этом направлении, но большая часть является некритическим переносом зарубежного опыта и в российских условиях зачастую приводит лишь к увеличению бумажной отчетности учителя и школы. Более перспективными, на наш взгляд, являются разработки, основанные на подходах школы Выготского</w:t>
      </w:r>
      <w:r>
        <w:rPr>
          <w:rStyle w:val="a6"/>
          <w:rFonts w:eastAsia="Calibri"/>
          <w:b w:val="0"/>
          <w:sz w:val="28"/>
          <w:szCs w:val="28"/>
        </w:rPr>
        <w:footnoteReference w:id="8"/>
      </w:r>
      <w:r>
        <w:rPr>
          <w:rFonts w:eastAsia="Calibri"/>
          <w:b w:val="0"/>
          <w:sz w:val="28"/>
          <w:szCs w:val="28"/>
        </w:rPr>
        <w:t>, но до технологического решения проблемы еще далеко.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этого раздела несколько замечаний по поводу портфолио. Сегодня уже накоплена определенная практика по описанию внеучебных достижений школьников, но для дальнейшего развития этой проблематики  необходимо различать ПФ для использования в классе и школе и ПФ для использования в различных конкурсных процедурах за пределами школы. В первом случае </w:t>
      </w:r>
      <w:r>
        <w:rPr>
          <w:rFonts w:ascii="Times New Roman" w:hAnsi="Times New Roman"/>
          <w:color w:val="000000"/>
          <w:sz w:val="28"/>
          <w:szCs w:val="28"/>
        </w:rPr>
        <w:t>необходимо фиксировать не столько школьные успехи ученика, сколько результаты его внеучебной деятельности и использовать их при планировании индивидуальной образовательной траектории учащегося. Во втором случае в ПФ будут включаться достижения в организованных референтными для общества организациях и внешних по отношению к школе олимпиадах и конкурсах, участие во внешних конференциях и социально-значимых проектах, достижения в системе дополнительного образования. Основные риски при введении ПФ – низкая достоверность представленных в нём материалов и высокий риск фальсификации со стороны школы и семьи в случае принятия на базе ПФ значимых решений.</w:t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заключение необходимо еще раз отметить, что говорить о самостоятельности школ и о реальном управлении качеством образования можно только в случае системного продвижения по всем перечисленным направлениям оценки качества образования. Наиболее систематично существующий опыт оценивания описан на сайте Российского тренингового центра при Институте управления РАО.</w:t>
      </w:r>
      <w:r>
        <w:rPr>
          <w:rStyle w:val="a6"/>
          <w:color w:val="000000"/>
          <w:sz w:val="28"/>
          <w:szCs w:val="28"/>
        </w:rPr>
        <w:footnoteReference w:id="9"/>
      </w:r>
    </w:p>
    <w:p w:rsidR="007F0168" w:rsidRDefault="007F0168" w:rsidP="007F01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AD8" w:rsidRDefault="00F62AD8">
      <w:bookmarkStart w:id="0" w:name="_GoBack"/>
      <w:bookmarkEnd w:id="0"/>
    </w:p>
    <w:sectPr w:rsidR="00F6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EA" w:rsidRDefault="007F20EA" w:rsidP="007F0168">
      <w:pPr>
        <w:spacing w:after="0" w:line="240" w:lineRule="auto"/>
      </w:pPr>
      <w:r>
        <w:separator/>
      </w:r>
    </w:p>
  </w:endnote>
  <w:endnote w:type="continuationSeparator" w:id="0">
    <w:p w:rsidR="007F20EA" w:rsidRDefault="007F20EA" w:rsidP="007F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EA" w:rsidRDefault="007F20EA" w:rsidP="007F0168">
      <w:pPr>
        <w:spacing w:after="0" w:line="240" w:lineRule="auto"/>
      </w:pPr>
      <w:r>
        <w:separator/>
      </w:r>
    </w:p>
  </w:footnote>
  <w:footnote w:type="continuationSeparator" w:id="0">
    <w:p w:rsidR="007F20EA" w:rsidRDefault="007F20EA" w:rsidP="007F0168">
      <w:pPr>
        <w:spacing w:after="0" w:line="240" w:lineRule="auto"/>
      </w:pPr>
      <w:r>
        <w:continuationSeparator/>
      </w:r>
    </w:p>
  </w:footnote>
  <w:footnote w:id="1">
    <w:p w:rsidR="007F0168" w:rsidRDefault="007F0168" w:rsidP="007F0168">
      <w:pPr>
        <w:pStyle w:val="a5"/>
      </w:pPr>
      <w:r>
        <w:rPr>
          <w:rStyle w:val="a6"/>
        </w:rPr>
        <w:footnoteRef/>
      </w:r>
      <w:r>
        <w:t xml:space="preserve"> </w:t>
      </w:r>
      <w:hyperlink r:id="rId1" w:history="1">
        <w:r>
          <w:rPr>
            <w:rStyle w:val="a3"/>
            <w:shd w:val="clear" w:color="auto" w:fill="FFFFFF"/>
          </w:rPr>
          <w:t>www.</w:t>
        </w:r>
        <w:r>
          <w:rPr>
            <w:rStyle w:val="a3"/>
            <w:shd w:val="clear" w:color="auto" w:fill="FFFFFF"/>
            <w:lang w:val="en-US"/>
          </w:rPr>
          <w:t>centeroko</w:t>
        </w:r>
        <w:r>
          <w:rPr>
            <w:rStyle w:val="a3"/>
            <w:shd w:val="clear" w:color="auto" w:fill="FFFFFF"/>
          </w:rPr>
          <w:t>.ru</w:t>
        </w:r>
      </w:hyperlink>
    </w:p>
  </w:footnote>
  <w:footnote w:id="2">
    <w:p w:rsidR="007F0168" w:rsidRDefault="007F0168" w:rsidP="007F0168">
      <w:pPr>
        <w:pStyle w:val="a5"/>
      </w:pPr>
      <w:r>
        <w:rPr>
          <w:rStyle w:val="a6"/>
        </w:rPr>
        <w:footnoteRef/>
      </w:r>
      <w:r>
        <w:t xml:space="preserve"> </w:t>
      </w:r>
      <w:hyperlink r:id="rId2" w:history="1">
        <w:r>
          <w:rPr>
            <w:rStyle w:val="a3"/>
          </w:rPr>
          <w:t>www.hse.ru</w:t>
        </w:r>
      </w:hyperlink>
    </w:p>
  </w:footnote>
  <w:footnote w:id="3">
    <w:p w:rsidR="007F0168" w:rsidRDefault="007F0168" w:rsidP="007F0168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eastAsia="Calibri"/>
        </w:rPr>
        <w:t xml:space="preserve">инструментарий разработан Национальным фондом подготовки кадров </w:t>
      </w:r>
      <w:hyperlink r:id="rId3" w:history="1">
        <w:r>
          <w:rPr>
            <w:rStyle w:val="a3"/>
            <w:rFonts w:eastAsia="Calibri"/>
          </w:rPr>
          <w:t>http://iso.ntf.ru/p42aa1.html</w:t>
        </w:r>
      </w:hyperlink>
    </w:p>
  </w:footnote>
  <w:footnote w:id="4">
    <w:p w:rsidR="007F0168" w:rsidRDefault="007F0168" w:rsidP="007F0168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eastAsia="Calibri"/>
          <w:lang w:val="en-US"/>
        </w:rPr>
        <w:t>www</w:t>
      </w:r>
      <w:r>
        <w:rPr>
          <w:rFonts w:eastAsia="Calibri"/>
        </w:rPr>
        <w:t>.</w:t>
      </w:r>
      <w:r>
        <w:rPr>
          <w:rFonts w:eastAsia="Calibri"/>
          <w:lang w:val="en-US"/>
        </w:rPr>
        <w:t>rcoi</w:t>
      </w:r>
      <w:r>
        <w:rPr>
          <w:rFonts w:eastAsia="Calibri"/>
        </w:rPr>
        <w:t>68.</w:t>
      </w:r>
      <w:r>
        <w:rPr>
          <w:rFonts w:eastAsia="Calibri"/>
          <w:lang w:val="en-US"/>
        </w:rPr>
        <w:t>ru</w:t>
      </w:r>
    </w:p>
  </w:footnote>
  <w:footnote w:id="5">
    <w:p w:rsidR="007F0168" w:rsidRDefault="007F0168" w:rsidP="007F0168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hyperlink r:id="rId4" w:tgtFrame="_blank" w:history="1">
        <w:r>
          <w:rPr>
            <w:rStyle w:val="a3"/>
            <w:rFonts w:eastAsia="Calibri"/>
          </w:rPr>
          <w:t>http://ria.ru/ratings_analytics/20120329/609002013.html</w:t>
        </w:r>
      </w:hyperlink>
    </w:p>
  </w:footnote>
  <w:footnote w:id="6">
    <w:p w:rsidR="007F0168" w:rsidRDefault="007F0168" w:rsidP="007F0168">
      <w:pPr>
        <w:pStyle w:val="a5"/>
      </w:pPr>
      <w:r>
        <w:rPr>
          <w:rStyle w:val="a6"/>
        </w:rPr>
        <w:footnoteRef/>
      </w:r>
      <w:r>
        <w:t xml:space="preserve"> </w:t>
      </w:r>
      <w:hyperlink r:id="rId5" w:history="1">
        <w:r>
          <w:rPr>
            <w:rStyle w:val="a3"/>
          </w:rPr>
          <w:t>http://standart.edu.ru/catalog.aspx?catalogId=223</w:t>
        </w:r>
      </w:hyperlink>
      <w:r>
        <w:t xml:space="preserve">, </w:t>
      </w:r>
      <w:hyperlink r:id="rId6" w:history="1">
        <w:r>
          <w:rPr>
            <w:rStyle w:val="a3"/>
          </w:rPr>
          <w:t>http://www.centeroko.ru/fgos/fgos.htm</w:t>
        </w:r>
      </w:hyperlink>
    </w:p>
  </w:footnote>
  <w:footnote w:id="7">
    <w:p w:rsidR="007F0168" w:rsidRDefault="007F0168" w:rsidP="007F0168">
      <w:pPr>
        <w:pStyle w:val="a5"/>
        <w:jc w:val="both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hyperlink r:id="rId7" w:history="1">
        <w:r>
          <w:rPr>
            <w:rStyle w:val="a3"/>
            <w:lang w:val="en-US"/>
          </w:rPr>
          <w:t>obrnadzor.gov.ru</w:t>
        </w:r>
      </w:hyperlink>
      <w:r>
        <w:rPr>
          <w:lang w:val="en-US"/>
        </w:rPr>
        <w:t xml:space="preserve">; </w:t>
      </w:r>
      <w:hyperlink r:id="rId8" w:history="1">
        <w:r>
          <w:rPr>
            <w:rStyle w:val="a3"/>
            <w:lang w:val="en-US"/>
          </w:rPr>
          <w:t>www.fipi.ru</w:t>
        </w:r>
      </w:hyperlink>
      <w:r>
        <w:rPr>
          <w:lang w:val="en-US"/>
        </w:rPr>
        <w:t>,</w:t>
      </w:r>
      <w:hyperlink r:id="rId9" w:history="1">
        <w:r>
          <w:rPr>
            <w:rStyle w:val="a3"/>
            <w:lang w:val="en-US"/>
          </w:rPr>
          <w:t>www.rustest.ru</w:t>
        </w:r>
      </w:hyperlink>
    </w:p>
  </w:footnote>
  <w:footnote w:id="8">
    <w:p w:rsidR="007F0168" w:rsidRDefault="007F0168" w:rsidP="007F0168">
      <w:pPr>
        <w:pStyle w:val="a5"/>
        <w:jc w:val="both"/>
      </w:pPr>
      <w:r>
        <w:rPr>
          <w:rStyle w:val="a6"/>
        </w:rPr>
        <w:footnoteRef/>
      </w:r>
      <w:r>
        <w:rPr>
          <w:lang w:val="en-US"/>
        </w:rPr>
        <w:t xml:space="preserve"> </w:t>
      </w:r>
      <w:r>
        <w:rPr>
          <w:rFonts w:eastAsia="Calibri"/>
          <w:lang w:val="en-US"/>
        </w:rPr>
        <w:t xml:space="preserve">SchoolAchievements’ Monitoring </w:t>
      </w:r>
      <w:hyperlink r:id="rId10" w:history="1">
        <w:r>
          <w:rPr>
            <w:rStyle w:val="a3"/>
            <w:rFonts w:eastAsia="Calibri"/>
            <w:lang w:val="en-US"/>
          </w:rPr>
          <w:t>http://ciced.ru/page/instrument-monitoringa-uchebnykh-dostizhenii-shkolnikov-sam-%E2%80%93-school-achievements%E2%80%99-monitoring</w:t>
        </w:r>
      </w:hyperlink>
      <w:r>
        <w:rPr>
          <w:rStyle w:val="a3"/>
          <w:rFonts w:eastAsia="Calibri"/>
          <w:lang w:val="en-US"/>
        </w:rPr>
        <w:t xml:space="preserve">; </w:t>
      </w:r>
      <w:r>
        <w:rPr>
          <w:rFonts w:eastAsia="Calibri"/>
          <w:bCs/>
          <w:shd w:val="clear" w:color="auto" w:fill="FFFFFF"/>
        </w:rPr>
        <w:t>Дельта</w:t>
      </w:r>
      <w:r>
        <w:rPr>
          <w:rFonts w:eastAsia="Calibri"/>
          <w:bCs/>
          <w:shd w:val="clear" w:color="auto" w:fill="FFFFFF"/>
          <w:lang w:val="en-US"/>
        </w:rPr>
        <w:t>-</w:t>
      </w:r>
      <w:r>
        <w:rPr>
          <w:rFonts w:eastAsia="Calibri"/>
          <w:bCs/>
          <w:shd w:val="clear" w:color="auto" w:fill="FFFFFF"/>
        </w:rPr>
        <w:t>тестирование</w:t>
      </w:r>
      <w:r>
        <w:rPr>
          <w:rFonts w:eastAsia="Calibri"/>
          <w:bCs/>
          <w:shd w:val="clear" w:color="auto" w:fill="FFFFFF"/>
          <w:lang w:val="en-US"/>
        </w:rPr>
        <w:t xml:space="preserve">. </w:t>
      </w:r>
      <w:r>
        <w:rPr>
          <w:rFonts w:eastAsia="Calibri"/>
          <w:bCs/>
          <w:shd w:val="clear" w:color="auto" w:fill="FFFFFF"/>
        </w:rPr>
        <w:t xml:space="preserve">Мониторинг индивидуального прогресса учебных достижений. </w:t>
      </w:r>
      <w:r>
        <w:rPr>
          <w:rFonts w:eastAsia="Calibri"/>
        </w:rPr>
        <w:t>http://www.ippd.ru/activity/projects?file=11</w:t>
      </w:r>
    </w:p>
  </w:footnote>
  <w:footnote w:id="9">
    <w:p w:rsidR="007F0168" w:rsidRDefault="007F0168" w:rsidP="007F0168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color w:val="000000"/>
        </w:rPr>
        <w:t>www.rtc-edu.ru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2B"/>
    <w:rsid w:val="004C0A2B"/>
    <w:rsid w:val="007F0168"/>
    <w:rsid w:val="007F20EA"/>
    <w:rsid w:val="00F6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68"/>
  </w:style>
  <w:style w:type="paragraph" w:styleId="1">
    <w:name w:val="heading 1"/>
    <w:basedOn w:val="a"/>
    <w:link w:val="10"/>
    <w:qFormat/>
    <w:rsid w:val="007F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7F016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сноски Знак"/>
    <w:aliases w:val="F1 Знак,Table_Footnote_last Знак1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5"/>
    <w:semiHidden/>
    <w:locked/>
    <w:rsid w:val="007F01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note text"/>
    <w:aliases w:val="F1,Table_Footnote_last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"/>
    <w:basedOn w:val="a"/>
    <w:link w:val="a4"/>
    <w:semiHidden/>
    <w:unhideWhenUsed/>
    <w:rsid w:val="007F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Текст сноски Знак1"/>
    <w:basedOn w:val="a0"/>
    <w:uiPriority w:val="99"/>
    <w:semiHidden/>
    <w:rsid w:val="007F0168"/>
    <w:rPr>
      <w:sz w:val="20"/>
      <w:szCs w:val="20"/>
    </w:rPr>
  </w:style>
  <w:style w:type="character" w:styleId="a6">
    <w:name w:val="footnote reference"/>
    <w:semiHidden/>
    <w:unhideWhenUsed/>
    <w:rsid w:val="007F016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68"/>
  </w:style>
  <w:style w:type="paragraph" w:styleId="1">
    <w:name w:val="heading 1"/>
    <w:basedOn w:val="a"/>
    <w:link w:val="10"/>
    <w:qFormat/>
    <w:rsid w:val="007F0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7F016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сноски Знак"/>
    <w:aliases w:val="F1 Знак,Table_Footnote_last Знак1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5"/>
    <w:semiHidden/>
    <w:locked/>
    <w:rsid w:val="007F016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note text"/>
    <w:aliases w:val="F1,Table_Footnote_last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"/>
    <w:basedOn w:val="a"/>
    <w:link w:val="a4"/>
    <w:semiHidden/>
    <w:unhideWhenUsed/>
    <w:rsid w:val="007F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Текст сноски Знак1"/>
    <w:basedOn w:val="a0"/>
    <w:uiPriority w:val="99"/>
    <w:semiHidden/>
    <w:rsid w:val="007F0168"/>
    <w:rPr>
      <w:sz w:val="20"/>
      <w:szCs w:val="20"/>
    </w:rPr>
  </w:style>
  <w:style w:type="character" w:styleId="a6">
    <w:name w:val="footnote reference"/>
    <w:semiHidden/>
    <w:unhideWhenUsed/>
    <w:rsid w:val="007F016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hyperlink" Target="http://iso.ntf.ru/p42aa1.html" TargetMode="External"/><Relationship Id="rId7" Type="http://schemas.openxmlformats.org/officeDocument/2006/relationships/hyperlink" Target="http://obrnadzor.gov.ru/" TargetMode="External"/><Relationship Id="rId2" Type="http://schemas.openxmlformats.org/officeDocument/2006/relationships/hyperlink" Target="http://www.hse.ru/" TargetMode="External"/><Relationship Id="rId1" Type="http://schemas.openxmlformats.org/officeDocument/2006/relationships/hyperlink" Target="http://www.centeroko.ru/" TargetMode="External"/><Relationship Id="rId6" Type="http://schemas.openxmlformats.org/officeDocument/2006/relationships/hyperlink" Target="http://www.centeroko.ru/fgos/fgos.htm" TargetMode="External"/><Relationship Id="rId5" Type="http://schemas.openxmlformats.org/officeDocument/2006/relationships/hyperlink" Target="http://standart.edu.ru/catalog.aspx?catalogId=223" TargetMode="External"/><Relationship Id="rId10" Type="http://schemas.openxmlformats.org/officeDocument/2006/relationships/hyperlink" Target="http://ciced.ru/page/instrument-monitoringa-uchebnykh-dostizhenii-shkolnikov-sam-%E2%80%93-school-achievements%E2%80%99-monitoring" TargetMode="External"/><Relationship Id="rId4" Type="http://schemas.openxmlformats.org/officeDocument/2006/relationships/hyperlink" Target="http://ria.ru/ratings_analytics/20120329/609002013.html" TargetMode="External"/><Relationship Id="rId9" Type="http://schemas.openxmlformats.org/officeDocument/2006/relationships/hyperlink" Target="http://www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</Words>
  <Characters>11137</Characters>
  <Application>Microsoft Office Word</Application>
  <DocSecurity>0</DocSecurity>
  <Lines>92</Lines>
  <Paragraphs>26</Paragraphs>
  <ScaleCrop>false</ScaleCrop>
  <Company>Krokoz™</Company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2013-11-30T07:19:00Z</dcterms:created>
  <dcterms:modified xsi:type="dcterms:W3CDTF">2013-11-30T07:19:00Z</dcterms:modified>
</cp:coreProperties>
</file>