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19" w:rsidRDefault="00476906" w:rsidP="001B4BE9">
      <w:pPr>
        <w:pStyle w:val="20"/>
        <w:shd w:val="clear" w:color="auto" w:fill="auto"/>
        <w:spacing w:before="0"/>
        <w:ind w:firstLine="709"/>
        <w:jc w:val="both"/>
      </w:pPr>
      <w:bookmarkStart w:id="0" w:name="_GoBack"/>
      <w:r>
        <w:t xml:space="preserve">Хасан Б.И. </w:t>
      </w:r>
      <w:r w:rsidR="002F42FD">
        <w:t>Социально-позитивные юношеские группы как посредники</w:t>
      </w:r>
      <w:r>
        <w:t xml:space="preserve"> между делинквентами и взрослыми</w:t>
      </w:r>
      <w:r w:rsidR="002F42FD">
        <w:t xml:space="preserve"> разрешение конфликтов</w:t>
      </w:r>
      <w:r>
        <w:t xml:space="preserve"> </w:t>
      </w:r>
      <w:r w:rsidR="002F42FD">
        <w:t>взросления.</w:t>
      </w:r>
    </w:p>
    <w:p w:rsidR="00476906" w:rsidRDefault="00476906" w:rsidP="001B4BE9">
      <w:pPr>
        <w:pStyle w:val="20"/>
        <w:shd w:val="clear" w:color="auto" w:fill="auto"/>
        <w:spacing w:before="0"/>
        <w:ind w:firstLine="880"/>
        <w:jc w:val="both"/>
      </w:pPr>
    </w:p>
    <w:bookmarkEnd w:id="0"/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 xml:space="preserve">20 лет назад мне </w:t>
      </w:r>
      <w:r w:rsidR="001B4BE9">
        <w:t>пришлось</w:t>
      </w:r>
      <w:r>
        <w:t xml:space="preserve"> пережить серьезную неудачу </w:t>
      </w:r>
      <w:r w:rsidR="001B4BE9">
        <w:t>при</w:t>
      </w:r>
      <w:r>
        <w:t xml:space="preserve"> решении задачи социальной адаптац</w:t>
      </w:r>
      <w:r w:rsidR="001B4BE9">
        <w:t>ии. В мои обязанности входило то</w:t>
      </w:r>
      <w:r>
        <w:t xml:space="preserve">гда способствование трудоустройству юношей и девушек, отбывших срок наказания. Одна из этих девушек никак не могла задержаться на одном рабочем месте, несмотря на то, что по моей просьбе ей всякий раз старались оказывать внимание. </w:t>
      </w:r>
      <w:r w:rsidR="001B4BE9">
        <w:t xml:space="preserve">При очередной нашей встрече она разоткровенничалась и сказала: "Понимаешь, чужие они все". </w:t>
      </w:r>
      <w:r>
        <w:t xml:space="preserve">Это слово "чужие" было про весь взрослый мир, который с ее точки зрения абсолютно не способен понять </w:t>
      </w:r>
      <w:r w:rsidR="001B4BE9">
        <w:t>ее интересы</w:t>
      </w:r>
      <w:r>
        <w:t>. Между мной и ней тогда была сравнительно небольшая разница в возрасте. И я, по ее мнению, был "небезнадежен" с точки зрения возможностей взаимопонимания, т.е. менее "чужой".</w:t>
      </w:r>
    </w:p>
    <w:p w:rsidR="00046319" w:rsidRDefault="001B4BE9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>Этот случай заставил всерьез подумать о возможной эффективности не взрослых, но более приближенных по возрасту фигур для восстановления разрушенных социально-позитивных отношений.</w:t>
      </w:r>
    </w:p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>Заведомая установка на то, что взрослым недоступны действительные интересы подростков;</w:t>
      </w:r>
      <w:r w:rsidR="001B4BE9" w:rsidRPr="001B4BE9">
        <w:t xml:space="preserve"> </w:t>
      </w:r>
      <w:r>
        <w:t xml:space="preserve">по данным наших социально-психологических исследований весьма распространена и устойчива. Она основывается на том, что сами по себе отклоняющиеся формы поведения - есть следствия конфликтов детского возраста, </w:t>
      </w:r>
      <w:r w:rsidR="001B4BE9">
        <w:t>вернее,</w:t>
      </w:r>
      <w:r>
        <w:t xml:space="preserve"> их неадекватного разрешения.</w:t>
      </w:r>
    </w:p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 xml:space="preserve">Особенно обостряется конфликтность в возрастной группе </w:t>
      </w:r>
      <w:r>
        <w:rPr>
          <w:lang w:val="en-US" w:eastAsia="en-US" w:bidi="en-US"/>
        </w:rPr>
        <w:t>IQ</w:t>
      </w:r>
      <w:r w:rsidRPr="00476906">
        <w:rPr>
          <w:lang w:eastAsia="en-US" w:bidi="en-US"/>
        </w:rPr>
        <w:t xml:space="preserve">- 12 </w:t>
      </w:r>
      <w:r>
        <w:t xml:space="preserve">лет. Это время возрастного кризиса, когда ребенок выясняет для себя, что он уже не маленький, но еще и явно не взрослый. </w:t>
      </w:r>
      <w:r w:rsidR="001B4BE9">
        <w:t>Неопределенность существования напрямую связывается с совершенно противоречивым поведением взрослого мира, для которого характерны такие замечания: "Это тебе еще нельзя, ты еще мал." и "Ну ты уже большой, ты же мужчина." И это про одного и того же ребенка и примерно в одно и то же время.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Исследования показывают, что в этой возрастной группе любой конфликт преимущественно интерпретируется и переживается как внешний. </w:t>
      </w:r>
      <w:r w:rsidR="001B4BE9">
        <w:t>Следовательно,</w:t>
      </w:r>
      <w:r>
        <w:t xml:space="preserve"> в нем есть другая сторона - противник. Этот противник - взрослый мир. </w:t>
      </w:r>
      <w:r w:rsidR="001B4BE9">
        <w:t xml:space="preserve">Интересно, что по нашим данным получилось, что в различных коллизиях, возникающих между взрослыми и детьми, и в ’школьных и в семейных условиях, взрослые тоже преимущественно обвиняют другую сторону - детей. </w:t>
      </w:r>
      <w:r>
        <w:t>"Если бы они вели себя</w:t>
      </w:r>
      <w:r w:rsidR="001B4BE9" w:rsidRPr="001B4BE9">
        <w:t xml:space="preserve"> </w:t>
      </w:r>
      <w:r>
        <w:t>прилично.*.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Итак, на определенной возрастной ступени детство уже отдалилось, а </w:t>
      </w:r>
      <w:r>
        <w:lastRenderedPageBreak/>
        <w:t>взрослость в лице ее очевидных представителей не приблизилось, а в отдельных случаях отдалилось и обозначилось как мир "чужих".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Вместе с тем взросление есть и потребность и неизбежность. </w:t>
      </w:r>
      <w:r w:rsidR="001B4BE9">
        <w:t>Следовательно,</w:t>
      </w:r>
      <w:r>
        <w:t xml:space="preserve"> необходима какая-то ориентация на старшие возрастные группы: еще не взрослые (а значит не такие чужие), но уже явно не детские.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Опираясь на эти обстоятельства, мы попробовали формировать юношеские группы, специально ориентированные на работу с делинквентами. При этом мы считали важными следующие психологические особенности подросткового возраста:</w:t>
      </w:r>
    </w:p>
    <w:p w:rsidR="00046319" w:rsidRDefault="002F42FD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340" w:lineRule="exact"/>
        <w:ind w:firstLine="880"/>
        <w:jc w:val="both"/>
      </w:pPr>
      <w:r>
        <w:t>стремление к групповой принадлежности и групповому признанию;</w:t>
      </w:r>
    </w:p>
    <w:p w:rsidR="00046319" w:rsidRDefault="001B4BE9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340" w:lineRule="exact"/>
        <w:ind w:firstLine="880"/>
        <w:jc w:val="both"/>
      </w:pPr>
      <w:r>
        <w:t>стремление к дружеским интимным взаимоотношениям;</w:t>
      </w:r>
    </w:p>
    <w:p w:rsidR="00046319" w:rsidRDefault="002F42FD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340" w:lineRule="exact"/>
        <w:ind w:firstLine="880"/>
        <w:jc w:val="both"/>
      </w:pPr>
      <w:r>
        <w:t>повышение эгоистических тенденций с требованиями понимания;</w:t>
      </w:r>
    </w:p>
    <w:p w:rsidR="00046319" w:rsidRDefault="002F42FD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340" w:lineRule="exact"/>
        <w:ind w:firstLine="880"/>
        <w:jc w:val="both"/>
      </w:pPr>
      <w:r>
        <w:t xml:space="preserve">ориентация на близкий </w:t>
      </w:r>
      <w:r w:rsidR="001B4BE9">
        <w:t>старший</w:t>
      </w:r>
      <w:r>
        <w:t xml:space="preserve"> возраст как источник образцов поведения;</w:t>
      </w:r>
    </w:p>
    <w:p w:rsidR="00046319" w:rsidRDefault="002F42FD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340" w:lineRule="exact"/>
        <w:ind w:firstLine="880"/>
        <w:jc w:val="both"/>
      </w:pPr>
      <w:r>
        <w:t>эмансипационные установки как стремление к освобождению от зависимости.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Кроме того, наши исследования в области семейных, школьных</w:t>
      </w:r>
      <w:r w:rsidR="001B4BE9" w:rsidRPr="001B4BE9">
        <w:t xml:space="preserve"> </w:t>
      </w:r>
      <w:r>
        <w:t xml:space="preserve">и уличных отношений показывают, что в глазах российских детей мир взрослых выглядит не очень-то притягательным. Особенно это отношение касается родителей и учителей. Многие дети в </w:t>
      </w:r>
      <w:r w:rsidR="001B4BE9">
        <w:t xml:space="preserve">лучшем </w:t>
      </w:r>
      <w:r>
        <w:t>случае сочувствуют своим родителям. Они, с их точки зрения, неуспешны, пессимистичны, тревожны и агрессивны. Дети не хотят повторить судьбу того взрослого поколения, которое они видят из своего детства.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Но неавторитетность тех, кому положено бы быть авторитетными вовсе не отменяют авторитет как таковой, а вызывают избирательный протест и стремление к тем возрастным группам, которые исповедуют сходные ценности и в актуальном восприятии подростков выглядят как успешные и эффективные (эффектные).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Мы пошли по пути формирования таких групп, которые выглядели бы привлекательными для подростков. Эти группы составляют старшие школьники и студенты университета. Обычно это юноши и девушки, имеющие педагогическую профессиональную ориентацию, а многие</w:t>
      </w:r>
      <w:r w:rsidR="001B4BE9" w:rsidRPr="001B4BE9">
        <w:t xml:space="preserve"> </w:t>
      </w:r>
      <w:r>
        <w:t>и собственное преодоленное делинквентное прошлое.</w:t>
      </w:r>
    </w:p>
    <w:p w:rsidR="00046319" w:rsidRDefault="001B4BE9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Самое важное в содержании деятельности таких групп - это сочетание привлекательных для подростков форм времяпровождения: музыка, .дискотеки, путешествия, спорт, другие не требующие интеллектуальных и </w:t>
      </w:r>
      <w:r>
        <w:lastRenderedPageBreak/>
        <w:t xml:space="preserve">волевых усилий, ассоциирующихся с образами ’’красивой жизни" и спонтанно отвергаемых: учебной, трудовой, научной, патронажной. </w:t>
      </w:r>
      <w:r w:rsidR="002F42FD">
        <w:t xml:space="preserve">При установлении контактов с делинквентами на первое место для них </w:t>
      </w:r>
      <w:r>
        <w:t>выступают,</w:t>
      </w:r>
      <w:r w:rsidR="002F42FD">
        <w:t xml:space="preserve"> конечно </w:t>
      </w:r>
      <w:r>
        <w:t>же,</w:t>
      </w:r>
      <w:r w:rsidR="002F42FD">
        <w:t xml:space="preserve"> ценностно близкие, приемлемые и желательные формы существования.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Вместе с тем эти группы независимы, сплочены, представляют собой хорошо защищенные образования; они много умеют, престижно выглядят. Таким образом, принадлежность к такой группе не противоречит желанию быть среди ’’своих” и отвечает основным потребностям, но, вместе с тем требует отказа от делинквентных форм поведения.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Любопытные результаты дал опрос подростков, претендующих на принятие в такую группу. Они подчеркнули, что еще не собираются принять все нормы группы. </w:t>
      </w:r>
      <w:r w:rsidR="001B4BE9">
        <w:t>Что же касается активного отрицания делинквентных форм поведения, то подростки заявили про членов группы: "Они же выступают не против нас, они против того, что мы делаем."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Важно, что даже спустя сравнительно короткое время подростки уже поняли и приняли разницу </w:t>
      </w:r>
      <w:r w:rsidR="001B4BE9">
        <w:t>между</w:t>
      </w:r>
      <w:r>
        <w:t xml:space="preserve"> персонифицированным отношением и критичностью к формам поведения. Можно сказать, что с этого момента посредническая функция социально-позитивной группы уже начала осуществляться. Это ее первый шаг.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Сама по себе социально-позитивная и активная в этом отношении ориентация группы обычно принимается как бы во вторую очередь. Вначале, обычно, просто как данность, а не как личностно значимая деятельность. Но это и не является условием групповой принадлежности и реализуется как эпифеномен. Вместе с тем, опыт работы показывает, что </w:t>
      </w:r>
      <w:r w:rsidR="001B4BE9">
        <w:t>переход</w:t>
      </w:r>
      <w:r>
        <w:t xml:space="preserve"> бывших делинквентов в эту позицию - явление закономерное. После полугода пребывания в группе в ней фактически не остается социально-индифферентных членов. Как правило, разница только в способах проявления активности, но это уже зависит от индивидуальных качеств.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Особый, момент связан с обнаружением подростками некоторых</w:t>
      </w:r>
      <w:r w:rsidR="001B4BE9" w:rsidRPr="001B4BE9">
        <w:t xml:space="preserve"> </w:t>
      </w:r>
      <w:r>
        <w:t>признаков руководства социально-позитивными со стороны взрослых.</w:t>
      </w:r>
      <w:r w:rsidR="001B4BE9" w:rsidRPr="001B4BE9">
        <w:t xml:space="preserve"> </w:t>
      </w:r>
      <w:r>
        <w:t xml:space="preserve">Педагоги, психологи и социальные работники, консультирующие такие группы, достаточно активно участвуют в их внутренней жизни и их роль всякий раз является предметом обсуждения и неким переживаемым фактором. </w:t>
      </w:r>
      <w:r w:rsidR="001B4BE9">
        <w:t xml:space="preserve">На самом деле это очень тонкий и значимый момент. </w:t>
      </w:r>
      <w:r>
        <w:t xml:space="preserve">Возможно возникновение серьезных сомнений в действительной независимости группы; подозрений в показушности и даже в ее провокационном характере. Но наличие таких фигур - есть обязательное условие данного варианта социальной работы, т.к. образцы </w:t>
      </w:r>
      <w:r>
        <w:lastRenderedPageBreak/>
        <w:t>положительного и недирективного взаимодействия взрослого и подросткового миров - одна из главных целей.</w:t>
      </w:r>
    </w:p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 xml:space="preserve">Очень важно, что такое взаимодействие может и должно быть конфликтным. Однако здесь конфликты разворачиваются в культуросообразной форме и носят продуктивный, а не деструктивный характер. Именно содержательная конфликтность в разрешении обязательно возникающих противоречий, обусловленных разным возрастом, выступает убедительным гарантом действительной, а не показушной самостоятельности. В отличие от обычных спонтанных конфликтов, здесь представителю взрослого мира предоставляются максимальные возможности для доказательства, что он </w:t>
      </w:r>
      <w:r w:rsidR="001B4BE9">
        <w:t xml:space="preserve">не </w:t>
      </w:r>
      <w:r>
        <w:t>"чужой".</w:t>
      </w:r>
    </w:p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 xml:space="preserve">Обычно специальным </w:t>
      </w:r>
      <w:r w:rsidR="001B4BE9">
        <w:t>предметом</w:t>
      </w:r>
      <w:r>
        <w:t xml:space="preserve"> конфликта являются проекты деятельности группы и способы их осуществления.</w:t>
      </w:r>
    </w:p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>Особое место в реализации такого варианта социальных работ занимает подготовка участников групп и разработка механизмов их поддержания и развития.</w:t>
      </w:r>
    </w:p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>Основное ядро групп составляют студенты психолого-педагогического факультета университета и старшие школьники базовых школ.</w:t>
      </w:r>
    </w:p>
    <w:p w:rsidR="00046319" w:rsidRDefault="002F42FD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>Для их подготовки к такой работе в программе факультета предусмотрены специальные курсы и тренинги:</w:t>
      </w:r>
    </w:p>
    <w:p w:rsidR="00046319" w:rsidRDefault="002F42FD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335" w:lineRule="exact"/>
        <w:ind w:firstLine="880"/>
        <w:jc w:val="both"/>
      </w:pPr>
      <w:r>
        <w:t>теория и практика конфликта;</w:t>
      </w:r>
    </w:p>
    <w:p w:rsidR="00046319" w:rsidRDefault="002F42FD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335" w:lineRule="exact"/>
        <w:ind w:firstLine="880"/>
        <w:jc w:val="both"/>
      </w:pPr>
      <w:r>
        <w:t>проектирование событий;</w:t>
      </w:r>
    </w:p>
    <w:p w:rsidR="00046319" w:rsidRDefault="002F42FD" w:rsidP="001B4BE9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335" w:lineRule="exact"/>
        <w:ind w:firstLine="880"/>
        <w:jc w:val="both"/>
      </w:pPr>
      <w:r>
        <w:t>психология отклоняющегося поведения.</w:t>
      </w:r>
    </w:p>
    <w:p w:rsidR="00046319" w:rsidRDefault="001B4BE9" w:rsidP="001B4BE9">
      <w:pPr>
        <w:pStyle w:val="20"/>
        <w:shd w:val="clear" w:color="auto" w:fill="auto"/>
        <w:spacing w:before="0" w:line="335" w:lineRule="exact"/>
        <w:ind w:firstLine="880"/>
        <w:jc w:val="both"/>
      </w:pPr>
      <w:r>
        <w:t>В качестве базы для реализации выбран Красноярский психологический центр консультирования, диагностики, коррекции, где сосредоточены основные программы социальных работ с подростками в городе и ведется систематический консультационный прием</w:t>
      </w:r>
      <w:r w:rsidRPr="001B4BE9">
        <w:t xml:space="preserve"> </w:t>
      </w:r>
      <w:r>
        <w:t>специалистами-психологами.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Поскольку Центр располагает телефоном экстренной психологической помощи - это является для многих подростков весьма удобным первичным каналом для установления контакта при сохранении собственного инкогнито, а значит защищенности.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Но основным местом, где собственно собираются группы, является школа, и их социальные действия разворачиваются в микрорайонах этих школ.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Обычно группа имеет сравнительно небольшой цикл жизни, в среднем 2-3 года, Затем она образует как бы отпочкование - новую группу, в которую входят студенты и школьники, пришедшие на смену выпускникам.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 xml:space="preserve">Одной из серьезных проблем в отношениях внутри таких групп </w:t>
      </w:r>
      <w:r>
        <w:lastRenderedPageBreak/>
        <w:t>является возможность обратного влияния за счет деструктивной деятельности делинквентов. Эта проблема обычно находится в фокусе особого внимания. Возможности своевременного предупреждения такого влияния мы связываем с тем, что в Психологическом Центре есть специальное психодиагностическое отделение, в задачи которого входит прогнозирование и разработка программ индивидуальной работы с каждым делинквентом.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Но самую большую трудность сегодня составляют задачи восстановления учебной мотивации, интереса к образованию у тех подростков, чье сопиально-отклоняющееся поведение связано с разрушительным конфликтом со школой.</w:t>
      </w:r>
    </w:p>
    <w:p w:rsidR="00046319" w:rsidRDefault="002F42FD" w:rsidP="001B4BE9">
      <w:pPr>
        <w:pStyle w:val="20"/>
        <w:shd w:val="clear" w:color="auto" w:fill="auto"/>
        <w:spacing w:before="0" w:line="340" w:lineRule="exact"/>
        <w:ind w:firstLine="880"/>
        <w:jc w:val="both"/>
      </w:pPr>
      <w:r>
        <w:t>Для того чтобы вернуть подростка в школу или иными словами: школу - подростку - необходимы серьезные работы в самой школе. Мы же пока идем по пути формирования престижа образования как одной из самых значимых внутригрупповых ценностей.</w:t>
      </w:r>
    </w:p>
    <w:sectPr w:rsidR="00046319" w:rsidSect="005E6066">
      <w:headerReference w:type="default" r:id="rId7"/>
      <w:headerReference w:type="first" r:id="rId8"/>
      <w:pgSz w:w="12240" w:h="15840"/>
      <w:pgMar w:top="1360" w:right="890" w:bottom="1563" w:left="214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35" w:rsidRDefault="00CA6A35">
      <w:r>
        <w:separator/>
      </w:r>
    </w:p>
  </w:endnote>
  <w:endnote w:type="continuationSeparator" w:id="0">
    <w:p w:rsidR="00CA6A35" w:rsidRDefault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35" w:rsidRDefault="00CA6A35"/>
  </w:footnote>
  <w:footnote w:type="continuationSeparator" w:id="0">
    <w:p w:rsidR="00CA6A35" w:rsidRDefault="00CA6A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19" w:rsidRDefault="005E6066">
    <w:pPr>
      <w:rPr>
        <w:sz w:val="2"/>
        <w:szCs w:val="2"/>
      </w:rPr>
    </w:pPr>
    <w:r w:rsidRPr="005E60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275.65pt;margin-top:47.25pt;width:19.6pt;height:18.4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3VqwIAAK0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" filled="f" stroked="f">
          <v:textbox style="mso-fit-shape-to-text:t" inset="0,0,0,0">
            <w:txbxContent>
              <w:p w:rsidR="00046319" w:rsidRDefault="002F42F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Sylfaen10pt0pt"/>
                  </w:rPr>
                  <w:t xml:space="preserve">- </w:t>
                </w:r>
                <w:r w:rsidR="005E6066" w:rsidRPr="005E6066">
                  <w:fldChar w:fldCharType="begin"/>
                </w:r>
                <w:r>
                  <w:instrText xml:space="preserve"> PAGE \* MERGEFORMAT </w:instrText>
                </w:r>
                <w:r w:rsidR="005E6066" w:rsidRPr="005E6066">
                  <w:fldChar w:fldCharType="separate"/>
                </w:r>
                <w:r w:rsidR="001B4BE9" w:rsidRPr="001B4BE9">
                  <w:rPr>
                    <w:rStyle w:val="Sylfaen14pt0pt"/>
                    <w:noProof/>
                  </w:rPr>
                  <w:t>5</w:t>
                </w:r>
                <w:r w:rsidR="005E6066">
                  <w:rPr>
                    <w:rStyle w:val="Sylfaen14pt0pt"/>
                  </w:rPr>
                  <w:fldChar w:fldCharType="end"/>
                </w:r>
                <w:r>
                  <w:rPr>
                    <w:rStyle w:val="Sylfaen10pt0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19" w:rsidRDefault="005E6066">
    <w:pPr>
      <w:rPr>
        <w:sz w:val="2"/>
        <w:szCs w:val="2"/>
      </w:rPr>
    </w:pPr>
    <w:r w:rsidRPr="005E60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269.75pt;margin-top:47.45pt;width:7.8pt;height:16.8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" filled="f" stroked="f">
          <v:textbox style="mso-fit-shape-to-text:t" inset="0,0,0,0">
            <w:txbxContent>
              <w:p w:rsidR="00046319" w:rsidRDefault="005E6066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5E6066">
                  <w:fldChar w:fldCharType="begin"/>
                </w:r>
                <w:r w:rsidR="002F42FD">
                  <w:instrText xml:space="preserve"> PAGE \* MERGEFORMAT </w:instrText>
                </w:r>
                <w:r w:rsidRPr="005E6066">
                  <w:fldChar w:fldCharType="separate"/>
                </w:r>
                <w:r w:rsidR="001B4BE9" w:rsidRPr="001B4BE9">
                  <w:rPr>
                    <w:rStyle w:val="CenturySchoolbook14pt0pt"/>
                    <w:noProof/>
                  </w:rPr>
                  <w:t>1</w:t>
                </w:r>
                <w:r>
                  <w:rPr>
                    <w:rStyle w:val="CenturySchoolbook14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3483"/>
    <w:multiLevelType w:val="multilevel"/>
    <w:tmpl w:val="8FEE38F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6319"/>
    <w:rsid w:val="00046319"/>
    <w:rsid w:val="001B4BE9"/>
    <w:rsid w:val="002F42FD"/>
    <w:rsid w:val="00476906"/>
    <w:rsid w:val="005E6066"/>
    <w:rsid w:val="00CA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0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606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E6066"/>
    <w:rPr>
      <w:rFonts w:ascii="Sylfaen" w:eastAsia="Sylfaen" w:hAnsi="Sylfaen" w:cs="Sylfaen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5E6066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a6">
    <w:name w:val="Колонтитул"/>
    <w:basedOn w:val="a4"/>
    <w:rsid w:val="005E606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0pt">
    <w:name w:val="Колонтитул + Не курсив;Интервал 0 pt"/>
    <w:basedOn w:val="a4"/>
    <w:rsid w:val="005E606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E60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Sylfaen10pt0pt">
    <w:name w:val="Колонтитул + Sylfaen;10 pt;Не курсив;Интервал 0 pt"/>
    <w:basedOn w:val="a4"/>
    <w:rsid w:val="005E60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14pt0pt">
    <w:name w:val="Колонтитул + Sylfaen;14 pt;Не курсив;Интервал 0 pt"/>
    <w:basedOn w:val="a4"/>
    <w:rsid w:val="005E60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E606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;Курсив"/>
    <w:basedOn w:val="3"/>
    <w:rsid w:val="005E606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Schoolbook14pt0pt">
    <w:name w:val="Колонтитул + Century Schoolbook;14 pt;Не курсив;Интервал 0 pt"/>
    <w:basedOn w:val="a4"/>
    <w:rsid w:val="005E606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E6066"/>
    <w:pPr>
      <w:shd w:val="clear" w:color="auto" w:fill="FFFFFF"/>
      <w:spacing w:after="420" w:line="435" w:lineRule="exact"/>
      <w:outlineLvl w:val="0"/>
    </w:pPr>
    <w:rPr>
      <w:rFonts w:ascii="Sylfaen" w:eastAsia="Sylfaen" w:hAnsi="Sylfaen" w:cs="Sylfaen"/>
      <w:i/>
      <w:iCs/>
      <w:sz w:val="30"/>
      <w:szCs w:val="30"/>
      <w:lang w:val="en-US" w:eastAsia="en-US" w:bidi="en-US"/>
    </w:rPr>
  </w:style>
  <w:style w:type="paragraph" w:customStyle="1" w:styleId="a5">
    <w:name w:val="Колонтитул"/>
    <w:basedOn w:val="a"/>
    <w:link w:val="a4"/>
    <w:rsid w:val="005E6066"/>
    <w:pPr>
      <w:shd w:val="clear" w:color="auto" w:fill="FFFFFF"/>
      <w:spacing w:line="435" w:lineRule="exact"/>
      <w:jc w:val="both"/>
    </w:pPr>
    <w:rPr>
      <w:rFonts w:ascii="Tahoma" w:eastAsia="Tahoma" w:hAnsi="Tahoma" w:cs="Tahoma"/>
      <w:i/>
      <w:iCs/>
      <w:spacing w:val="-30"/>
      <w:sz w:val="26"/>
      <w:szCs w:val="26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E6066"/>
    <w:pPr>
      <w:shd w:val="clear" w:color="auto" w:fill="FFFFFF"/>
      <w:spacing w:before="420" w:line="435" w:lineRule="exact"/>
      <w:ind w:hanging="280"/>
    </w:pPr>
    <w:rPr>
      <w:rFonts w:ascii="Century Schoolbook" w:eastAsia="Century Schoolbook" w:hAnsi="Century Schoolbook" w:cs="Century Schoolbook"/>
    </w:rPr>
  </w:style>
  <w:style w:type="paragraph" w:customStyle="1" w:styleId="30">
    <w:name w:val="Основной текст (3)"/>
    <w:basedOn w:val="a"/>
    <w:link w:val="3"/>
    <w:rsid w:val="005E6066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476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906"/>
    <w:rPr>
      <w:color w:val="000000"/>
    </w:rPr>
  </w:style>
  <w:style w:type="paragraph" w:styleId="a9">
    <w:name w:val="footer"/>
    <w:basedOn w:val="a"/>
    <w:link w:val="aa"/>
    <w:uiPriority w:val="99"/>
    <w:unhideWhenUsed/>
    <w:rsid w:val="00476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690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eshmat</dc:creator>
  <cp:lastModifiedBy>vologdina</cp:lastModifiedBy>
  <cp:revision>2</cp:revision>
  <dcterms:created xsi:type="dcterms:W3CDTF">2017-02-03T03:18:00Z</dcterms:created>
  <dcterms:modified xsi:type="dcterms:W3CDTF">2017-02-07T07:52:00Z</dcterms:modified>
</cp:coreProperties>
</file>